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D" w14:textId="5656473F" w:rsidR="000D59FD" w:rsidRPr="003F10B1" w:rsidRDefault="005B3478">
      <w:pPr>
        <w:jc w:val="both"/>
        <w:rPr>
          <w:rFonts w:asciiTheme="majorHAnsi" w:hAnsiTheme="majorHAnsi" w:cstheme="majorHAnsi"/>
          <w:b/>
        </w:rPr>
      </w:pPr>
      <w:r w:rsidRPr="003F10B1">
        <w:rPr>
          <w:rFonts w:asciiTheme="majorHAnsi" w:hAnsiTheme="majorHAnsi" w:cstheme="majorHAnsi"/>
          <w:b/>
        </w:rPr>
        <w:t>Opis prac podwykonawcy:</w:t>
      </w:r>
    </w:p>
    <w:p w14:paraId="0000005E" w14:textId="77777777" w:rsidR="000D59FD" w:rsidRPr="003F10B1" w:rsidRDefault="003F10B1">
      <w:pPr>
        <w:jc w:val="both"/>
        <w:rPr>
          <w:rFonts w:asciiTheme="majorHAnsi" w:hAnsiTheme="majorHAnsi" w:cstheme="majorHAnsi"/>
          <w:b/>
        </w:rPr>
      </w:pPr>
      <w:r w:rsidRPr="003F10B1">
        <w:rPr>
          <w:rFonts w:asciiTheme="majorHAnsi" w:hAnsiTheme="majorHAnsi" w:cstheme="majorHAnsi"/>
          <w:b/>
        </w:rPr>
        <w:t>Etap 1</w:t>
      </w:r>
    </w:p>
    <w:p w14:paraId="0000005F" w14:textId="77777777" w:rsidR="000D59FD" w:rsidRPr="003F10B1" w:rsidRDefault="003F10B1">
      <w:pPr>
        <w:jc w:val="both"/>
        <w:rPr>
          <w:rFonts w:asciiTheme="majorHAnsi" w:hAnsiTheme="majorHAnsi" w:cstheme="majorHAnsi"/>
          <w:u w:val="single"/>
        </w:rPr>
      </w:pPr>
      <w:r w:rsidRPr="003F10B1">
        <w:rPr>
          <w:rFonts w:asciiTheme="majorHAnsi" w:hAnsiTheme="majorHAnsi" w:cstheme="majorHAnsi"/>
          <w:u w:val="single"/>
        </w:rPr>
        <w:t>Opracowanie konsorcjum baktetrii promujących wzrost roślin oraz konsorcjum bakterii solubilizujących</w:t>
      </w:r>
    </w:p>
    <w:p w14:paraId="00000061" w14:textId="77777777" w:rsidR="000D59FD" w:rsidRPr="003F10B1" w:rsidRDefault="003F10B1">
      <w:pPr>
        <w:spacing w:after="0"/>
        <w:jc w:val="both"/>
        <w:rPr>
          <w:rFonts w:asciiTheme="majorHAnsi" w:hAnsiTheme="majorHAnsi" w:cstheme="majorHAnsi"/>
        </w:rPr>
      </w:pPr>
      <w:r w:rsidRPr="003F10B1">
        <w:rPr>
          <w:rFonts w:asciiTheme="majorHAnsi" w:hAnsiTheme="majorHAnsi" w:cstheme="majorHAnsi"/>
        </w:rPr>
        <w:t xml:space="preserve">Pierwszy zadaniem tego etapu będzie wytypowanie z zasobów własnych Podwykonawcy  (lub skrinning środowiskowy) </w:t>
      </w:r>
      <w:r w:rsidRPr="003F10B1">
        <w:rPr>
          <w:rFonts w:asciiTheme="majorHAnsi" w:hAnsiTheme="majorHAnsi" w:cstheme="majorHAnsi"/>
          <w:b/>
          <w:bCs/>
        </w:rPr>
        <w:t>szczepów promujących wzrost roślin</w:t>
      </w:r>
      <w:r w:rsidRPr="003F10B1">
        <w:rPr>
          <w:rFonts w:asciiTheme="majorHAnsi" w:hAnsiTheme="majorHAnsi" w:cstheme="majorHAnsi"/>
        </w:rPr>
        <w:t xml:space="preserve"> i  wykazujących następujące właściwości:</w:t>
      </w:r>
    </w:p>
    <w:p w14:paraId="00000062"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rozkład związków wielkocząsteczkowych (chityna, celuloza, pektyna, białka, skrobia) – na stałych podłożach mikrobiologicznych zawierających degradowany substrat</w:t>
      </w:r>
    </w:p>
    <w:p w14:paraId="00000063"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 xml:space="preserve">aktywność enzymów chitynolitycznych – metodą fluoremetryczą z zastosowaniem substratów znakowanych fluorescencyjnie cząsteczkami MUF </w:t>
      </w:r>
    </w:p>
    <w:p w14:paraId="00000064"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produkcja sidreoforów - metodą płytkową na podłożu CAS Agar;</w:t>
      </w:r>
    </w:p>
    <w:p w14:paraId="00000065"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zdolność izolatów do syntezy IAA - metodą spektrofotometryczną z odczynnikiem Salkovskiego;</w:t>
      </w:r>
    </w:p>
    <w:p w14:paraId="00000066"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produkcja kwasu salicylowego - spektrofotometryczną metodą Meyer i wsp.</w:t>
      </w:r>
    </w:p>
    <w:p w14:paraId="00000067"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wiązanie azotu atmosferycznego - na podstawie bilansu wszystkich form azotu (azot organiczny, mineralny: NH4, NO3, NO2) w bezazotowym medium hodowlanym</w:t>
      </w:r>
    </w:p>
    <w:p w14:paraId="00000068" w14:textId="77777777"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oznaczenie ogólnej aktywności enzymów hydrolitycznych z użyciem dwuoctanu fluoresceiny (FDA);</w:t>
      </w:r>
    </w:p>
    <w:p w14:paraId="00000069" w14:textId="47778A32" w:rsidR="000D59FD" w:rsidRPr="003F10B1" w:rsidRDefault="003F10B1">
      <w:pPr>
        <w:numPr>
          <w:ilvl w:val="0"/>
          <w:numId w:val="5"/>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badanie tempa mineralizacji materiału roślinnego oznaczane metodą respirometryczną</w:t>
      </w:r>
    </w:p>
    <w:p w14:paraId="0000006A" w14:textId="77777777" w:rsidR="000D59FD" w:rsidRPr="003F10B1" w:rsidRDefault="000D59FD">
      <w:pPr>
        <w:spacing w:after="0"/>
        <w:jc w:val="both"/>
        <w:rPr>
          <w:rFonts w:asciiTheme="majorHAnsi" w:hAnsiTheme="majorHAnsi" w:cstheme="majorHAnsi"/>
        </w:rPr>
      </w:pPr>
    </w:p>
    <w:p w14:paraId="0000006B" w14:textId="77777777" w:rsidR="000D59FD" w:rsidRPr="003F10B1" w:rsidRDefault="003F10B1">
      <w:pPr>
        <w:spacing w:after="0"/>
        <w:jc w:val="both"/>
        <w:rPr>
          <w:rFonts w:asciiTheme="majorHAnsi" w:hAnsiTheme="majorHAnsi" w:cstheme="majorHAnsi"/>
        </w:rPr>
      </w:pPr>
      <w:r w:rsidRPr="003F10B1">
        <w:rPr>
          <w:rFonts w:asciiTheme="majorHAnsi" w:hAnsiTheme="majorHAnsi" w:cstheme="majorHAnsi"/>
        </w:rPr>
        <w:t xml:space="preserve">Na podstawie powyższych cech zostanie wytypowane konsorcjum złożone z 3-4 szczepów o najkorzystniejszych cechach promujących wzrost roślin. </w:t>
      </w:r>
    </w:p>
    <w:p w14:paraId="0000006C" w14:textId="77777777" w:rsidR="000D59FD" w:rsidRPr="003F10B1" w:rsidRDefault="003F10B1">
      <w:pPr>
        <w:numPr>
          <w:ilvl w:val="0"/>
          <w:numId w:val="8"/>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Wykluczenie antagonizmu pomiędzy szczepami wchodzącymi w skład konsorcjum metodą otworową – oznaczenie polegać będzie na obserwacji wzrostu (lub jego zahamowaniu) poszczególnych szczepów w obecności metabolitów produkowanych przez pozostałe szczepy wytypowanych do konsorcjum</w:t>
      </w:r>
    </w:p>
    <w:p w14:paraId="0000006D" w14:textId="0B18A64D" w:rsidR="000D59FD" w:rsidRPr="003F10B1" w:rsidRDefault="003F10B1">
      <w:pPr>
        <w:numPr>
          <w:ilvl w:val="0"/>
          <w:numId w:val="8"/>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 xml:space="preserve">Zoptymalizowanie hodowli PGPB – wytypowanie optymalnego składu podłoża i warunków hodowli (pH, temperatura, intensywność mieszania i napowietrzania) najpierw w reaktorze laboratoryjnym o pojemności 3l, a następnie w skali przemysłowej w reaktorach o pojemności 100 i 500 l, proces optymalizacji powinien doprowadzić do uzyskania w hodowli liczebności bakterii w koncentracji co najmniej </w:t>
      </w:r>
      <w:r w:rsidR="00310BA2" w:rsidRPr="00310BA2">
        <w:rPr>
          <w:rFonts w:asciiTheme="majorHAnsi" w:hAnsiTheme="majorHAnsi" w:cstheme="majorHAnsi"/>
          <w:color w:val="000000"/>
        </w:rPr>
        <w:t>10^9</w:t>
      </w:r>
      <w:r w:rsidRPr="003F10B1">
        <w:rPr>
          <w:rFonts w:asciiTheme="majorHAnsi" w:hAnsiTheme="majorHAnsi" w:cstheme="majorHAnsi"/>
          <w:color w:val="000000"/>
        </w:rPr>
        <w:t xml:space="preserve"> jtk/ml</w:t>
      </w:r>
    </w:p>
    <w:p w14:paraId="0000006E" w14:textId="77777777" w:rsidR="000D59FD" w:rsidRPr="003F10B1" w:rsidRDefault="003F10B1">
      <w:pPr>
        <w:numPr>
          <w:ilvl w:val="0"/>
          <w:numId w:val="8"/>
        </w:numPr>
        <w:pBdr>
          <w:top w:val="nil"/>
          <w:left w:val="nil"/>
          <w:bottom w:val="nil"/>
          <w:right w:val="nil"/>
          <w:between w:val="nil"/>
        </w:pBdr>
        <w:spacing w:after="0"/>
        <w:jc w:val="both"/>
        <w:rPr>
          <w:rFonts w:asciiTheme="majorHAnsi" w:hAnsiTheme="majorHAnsi" w:cstheme="majorHAnsi"/>
          <w:color w:val="000000"/>
        </w:rPr>
      </w:pPr>
      <w:r w:rsidRPr="003F10B1">
        <w:rPr>
          <w:rFonts w:asciiTheme="majorHAnsi" w:hAnsiTheme="majorHAnsi" w:cstheme="majorHAnsi"/>
          <w:color w:val="000000"/>
        </w:rPr>
        <w:t>opracowanie technologii wprowadzania PGPB do frassu – wprowadzanie PGPB do frassu sypkiego oraz podczas granulacji (na różnych etapach), sprawdzenie żywotności wprowadzonych bakterii poprzez wykonanie wysiewów na podłoża stałe i oznaczenie liczebności żywych bakterii, testy przechowalnicze – oznaczanie zmian liczebności w czasie przechowywania frassu z PGPB w różnych warunkach co najmniej przez okres 6-miesięcy</w:t>
      </w:r>
    </w:p>
    <w:p w14:paraId="0000006F" w14:textId="77777777" w:rsidR="000D59FD" w:rsidRPr="003F10B1" w:rsidRDefault="000D59FD">
      <w:pPr>
        <w:spacing w:after="0"/>
        <w:jc w:val="both"/>
        <w:rPr>
          <w:rFonts w:asciiTheme="majorHAnsi" w:hAnsiTheme="majorHAnsi" w:cstheme="majorHAnsi"/>
        </w:rPr>
      </w:pPr>
    </w:p>
    <w:p w14:paraId="00000070" w14:textId="32DCA620" w:rsidR="000D59FD" w:rsidRPr="003F10B1" w:rsidRDefault="003F10B1">
      <w:pPr>
        <w:spacing w:after="0"/>
        <w:jc w:val="both"/>
        <w:rPr>
          <w:rFonts w:asciiTheme="majorHAnsi" w:hAnsiTheme="majorHAnsi" w:cstheme="majorHAnsi"/>
        </w:rPr>
      </w:pPr>
      <w:r w:rsidRPr="003F10B1">
        <w:rPr>
          <w:rFonts w:asciiTheme="majorHAnsi" w:hAnsiTheme="majorHAnsi" w:cstheme="majorHAnsi"/>
        </w:rPr>
        <w:t xml:space="preserve">W ramach prac wykonane zostanie wytypowanie z zasobów Podwykonawcy  (lub skrinning środowiskowy) szczepów PSB – badania zostaną wykonane metodą hodowli czystych szczepów na pożywce zawierającej zawieszony fosforan wapnia. Celem tego zadania jest wytypowanie </w:t>
      </w:r>
      <w:r w:rsidRPr="003F10B1">
        <w:rPr>
          <w:rFonts w:asciiTheme="majorHAnsi" w:hAnsiTheme="majorHAnsi" w:cstheme="majorHAnsi"/>
          <w:b/>
          <w:bCs/>
        </w:rPr>
        <w:t>szczepów zdolnych do solubilizacji fosforanu wapnia</w:t>
      </w:r>
      <w:r w:rsidRPr="003F10B1">
        <w:rPr>
          <w:rFonts w:asciiTheme="majorHAnsi" w:hAnsiTheme="majorHAnsi" w:cstheme="majorHAnsi"/>
        </w:rPr>
        <w:t xml:space="preserve">, czyli uwalniania jonów ortofosforanowych (rozpuszczalnych w wodzie i dostępnych dla roślin) z nierozpuszczalnej soli fosforanowej. Zakłada się wyłonienie mikroorganizmów, które pozwalają uzyskać wzrost dostępnego fosforu w postaci PO4 o co najmniej 5 % w stosunku do próby kontrolnej (bez bakterii). Wokół szczepów prowadzących proces solubilizacji wykrywa się strefę rozpuszczenia fosforanu wapnia o czym świadczy przejaśnienie pożywki na szalce Petriego. Dla szczepów o takich właściwościach zostaną wykonane dalsze badania </w:t>
      </w:r>
      <w:r w:rsidRPr="003F10B1">
        <w:rPr>
          <w:rFonts w:asciiTheme="majorHAnsi" w:hAnsiTheme="majorHAnsi" w:cstheme="majorHAnsi"/>
        </w:rPr>
        <w:lastRenderedPageBreak/>
        <w:t>zmierzające do oznaczenia efektywności prowadzonego procesu. W tym celu szczep będzie hodowany na pożywce płynnej zawierającej fosforan wapnia. Co określony czas (7 dni) z hodowli będzie pobierana podpróba, której spektrofotometrycznie zostanie oznaczone stężenie ortofosforanów. Próbę kontrolną będzie stanowiła pożywka z fosforanem wapnia, ale bez bakterii.</w:t>
      </w:r>
    </w:p>
    <w:p w14:paraId="00000071" w14:textId="5BF83BE1" w:rsidR="000D59FD" w:rsidRPr="003F10B1" w:rsidRDefault="003F10B1">
      <w:pPr>
        <w:spacing w:after="0"/>
        <w:jc w:val="both"/>
        <w:rPr>
          <w:rFonts w:asciiTheme="majorHAnsi" w:hAnsiTheme="majorHAnsi" w:cstheme="majorHAnsi"/>
        </w:rPr>
      </w:pPr>
      <w:r w:rsidRPr="003F10B1">
        <w:rPr>
          <w:rFonts w:asciiTheme="majorHAnsi" w:hAnsiTheme="majorHAnsi" w:cstheme="majorHAnsi"/>
        </w:rPr>
        <w:t xml:space="preserve">- zoptymalizowanie hodowli PSB – wytypowanie optymalnego składu podłoża i warunków hodowli (pH, temperatura, intensywność mieszania i napowietrzania) najpierw w reaktorze laboratoryjnym o pojemności 3l, a następnie w skali przemysłowej w reaktorach o pojemności 100 i 500 l, proces optymalizacji powinien doprowadzić do uzyskania w hodowli liczebności bakterii w koncentracji co najmniej </w:t>
      </w:r>
      <w:r w:rsidR="00310BA2" w:rsidRPr="00310BA2">
        <w:rPr>
          <w:rFonts w:asciiTheme="majorHAnsi" w:hAnsiTheme="majorHAnsi" w:cstheme="majorHAnsi"/>
        </w:rPr>
        <w:t>10^9</w:t>
      </w:r>
      <w:r w:rsidRPr="003F10B1">
        <w:rPr>
          <w:rFonts w:asciiTheme="majorHAnsi" w:hAnsiTheme="majorHAnsi" w:cstheme="majorHAnsi"/>
        </w:rPr>
        <w:t xml:space="preserve"> jtk/ml</w:t>
      </w:r>
    </w:p>
    <w:p w14:paraId="00000072" w14:textId="77777777" w:rsidR="000D59FD" w:rsidRPr="003F10B1" w:rsidRDefault="003F10B1">
      <w:pPr>
        <w:spacing w:after="0"/>
        <w:jc w:val="both"/>
        <w:rPr>
          <w:rFonts w:asciiTheme="majorHAnsi" w:hAnsiTheme="majorHAnsi" w:cstheme="majorHAnsi"/>
        </w:rPr>
      </w:pPr>
      <w:r w:rsidRPr="003F10B1">
        <w:rPr>
          <w:rFonts w:asciiTheme="majorHAnsi" w:hAnsiTheme="majorHAnsi" w:cstheme="majorHAnsi"/>
        </w:rPr>
        <w:t>- opracowanie technologii wprowadzania PSB do frassu z dodatkiem fosforytu– wprowadzanie bakterii do frassu sypkiego oraz podczas granulacji (na różnych etapach) PSB, sprawdzenie żywotności wprowadzonych bakterii poprzez wykonanie wysiewów na podłoża stałe i oznaczenie liczebności żywych bakterii, testy przechowalnicze – oznaczanie zmian liczebności w czasie przechowywania frassu z PSB w różnych warunkach co najmniej przez okres 6-miesięcy.</w:t>
      </w:r>
    </w:p>
    <w:p w14:paraId="000000DC" w14:textId="77777777" w:rsidR="000D59FD" w:rsidRPr="003F10B1" w:rsidRDefault="000D59FD">
      <w:pPr>
        <w:jc w:val="both"/>
        <w:rPr>
          <w:rFonts w:asciiTheme="majorHAnsi" w:hAnsiTheme="majorHAnsi" w:cstheme="majorHAnsi"/>
          <w:u w:val="single"/>
        </w:rPr>
      </w:pPr>
    </w:p>
    <w:p w14:paraId="27E4D99D" w14:textId="77777777" w:rsidR="00A213F1" w:rsidRPr="003F10B1" w:rsidRDefault="00A213F1" w:rsidP="00A213F1">
      <w:pPr>
        <w:jc w:val="both"/>
        <w:rPr>
          <w:rFonts w:asciiTheme="majorHAnsi" w:hAnsiTheme="majorHAnsi" w:cstheme="majorHAnsi"/>
          <w:b/>
        </w:rPr>
      </w:pPr>
      <w:r w:rsidRPr="003F10B1">
        <w:rPr>
          <w:rFonts w:asciiTheme="majorHAnsi" w:hAnsiTheme="majorHAnsi" w:cstheme="majorHAnsi"/>
          <w:b/>
        </w:rPr>
        <w:t xml:space="preserve">Etap 4 </w:t>
      </w:r>
    </w:p>
    <w:p w14:paraId="117D24B8" w14:textId="77777777" w:rsidR="00A213F1" w:rsidRPr="003F10B1" w:rsidRDefault="00A213F1" w:rsidP="00A213F1">
      <w:pPr>
        <w:jc w:val="both"/>
        <w:rPr>
          <w:rFonts w:asciiTheme="majorHAnsi" w:hAnsiTheme="majorHAnsi" w:cstheme="majorHAnsi"/>
          <w:u w:val="single"/>
        </w:rPr>
      </w:pPr>
      <w:r w:rsidRPr="003F10B1">
        <w:rPr>
          <w:rFonts w:asciiTheme="majorHAnsi" w:hAnsiTheme="majorHAnsi" w:cstheme="majorHAnsi"/>
          <w:u w:val="single"/>
        </w:rPr>
        <w:t>Ocena działania nawozu w uprawach pod osłonami</w:t>
      </w:r>
    </w:p>
    <w:p w14:paraId="08F661AB" w14:textId="77777777" w:rsidR="00A213F1" w:rsidRPr="003F10B1" w:rsidRDefault="00A213F1" w:rsidP="00A213F1">
      <w:pPr>
        <w:jc w:val="both"/>
        <w:rPr>
          <w:rFonts w:asciiTheme="majorHAnsi" w:hAnsiTheme="majorHAnsi" w:cstheme="majorHAnsi"/>
          <w:b/>
        </w:rPr>
      </w:pPr>
      <w:r w:rsidRPr="003F10B1">
        <w:rPr>
          <w:rFonts w:asciiTheme="majorHAnsi" w:hAnsiTheme="majorHAnsi" w:cstheme="majorHAnsi"/>
          <w:b/>
        </w:rPr>
        <w:t xml:space="preserve">Ocena działania nawozu z dodatkami w uprawach pod osłonami, wpływ nawozu na wzrost i rozwój roślin, wpływ na strefę korzeniową oraz środowisko glebowe </w:t>
      </w:r>
    </w:p>
    <w:p w14:paraId="6F0D80C9" w14:textId="77777777" w:rsidR="00A213F1" w:rsidRPr="003F10B1" w:rsidRDefault="00A213F1" w:rsidP="00A213F1">
      <w:pPr>
        <w:jc w:val="both"/>
        <w:rPr>
          <w:rFonts w:asciiTheme="majorHAnsi" w:hAnsiTheme="majorHAnsi" w:cstheme="majorHAnsi"/>
          <w:b/>
        </w:rPr>
      </w:pPr>
      <w:r w:rsidRPr="003F10B1">
        <w:rPr>
          <w:rFonts w:asciiTheme="majorHAnsi" w:hAnsiTheme="majorHAnsi" w:cstheme="majorHAnsi"/>
          <w:b/>
        </w:rPr>
        <w:t>ZMIANY W ŚRODOWISKU GLEBOWYM</w:t>
      </w:r>
    </w:p>
    <w:p w14:paraId="74128A8A" w14:textId="77777777" w:rsidR="00A213F1" w:rsidRPr="003F10B1" w:rsidRDefault="00A213F1" w:rsidP="00A213F1">
      <w:pPr>
        <w:spacing w:after="0"/>
        <w:jc w:val="both"/>
        <w:rPr>
          <w:rFonts w:asciiTheme="majorHAnsi" w:hAnsiTheme="majorHAnsi" w:cstheme="majorHAnsi"/>
        </w:rPr>
      </w:pPr>
      <w:r w:rsidRPr="003F10B1">
        <w:rPr>
          <w:rFonts w:asciiTheme="majorHAnsi" w:hAnsiTheme="majorHAnsi" w:cstheme="majorHAnsi"/>
        </w:rPr>
        <w:t>Ocena oddziaływania nawozu na środowisko glebowe analizowana będzie na podstawie bioindykatorów jakimi są zespoły nicieni glebowych. Badania wpływu na nematofaunę oparte zostaną na wskaźnikach ekologicznych oraz efektywności oddziaływania produktu. Za pomocą tych podstawowych parametrów strukturalnych populacji: bogactwa (liczba obecnych gatunków/grup ekologicznych), równomierności (jednolitość rozkładu osobników każdego gatunku/grupy ekologicznej) oraz liczebności (całkowita liczba obecnych organizmów) można opisać odpowiedź populacji na zmiany występujące w środowisku (Traczewska, 2011). W prowadzonych badaniach użyty zostanie wskaźnik dominacji osobniczej (KASPRZAK &amp; NIEDBAŁA, 1981) oraz porównanie podobieństw faunistycznych nicieni między badanymi obiektami doświadczalnymi a kontrolą negatywną z wykorzystaniem formuły JACCARDA (1912), według skali przyjętej przez Czachorowskiego (CZACHOROWSKI, 2006).</w:t>
      </w:r>
    </w:p>
    <w:p w14:paraId="3F759D7F" w14:textId="77777777" w:rsidR="00F54F0C" w:rsidRPr="003F10B1" w:rsidRDefault="00F54F0C" w:rsidP="00F54F0C">
      <w:pPr>
        <w:spacing w:after="0"/>
        <w:jc w:val="both"/>
        <w:rPr>
          <w:rFonts w:asciiTheme="majorHAnsi" w:hAnsiTheme="majorHAnsi" w:cstheme="majorHAnsi"/>
        </w:rPr>
      </w:pPr>
      <w:r w:rsidRPr="003F10B1">
        <w:rPr>
          <w:rFonts w:asciiTheme="majorHAnsi" w:hAnsiTheme="majorHAnsi" w:cstheme="majorHAnsi"/>
        </w:rPr>
        <w:t>Nicienie glebowe izolowane będą z gleby metodą Cobba w modyfikacji Flegga, z wykorzystaniem metody Baermanna, a z korzeni metodą Baermanna. W próbach liczone będą wszystkie nicienie, z uwzględnieniem podziału na grupy troficzne, zgodnie z klasyfikacją Yeates et al. (1993)*:</w:t>
      </w:r>
    </w:p>
    <w:p w14:paraId="1E27E7E8"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nicienie roślinożerne (plant feeding) - fitofagi</w:t>
      </w:r>
    </w:p>
    <w:p w14:paraId="7BF86FCB"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nicienie grzybożerne (fungal feeding) - mykofagi</w:t>
      </w:r>
    </w:p>
    <w:p w14:paraId="04E5A7A6"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nicienie bakteriożerne (bacterial feeding) - bakteriofagi</w:t>
      </w:r>
    </w:p>
    <w:p w14:paraId="795D4A2B"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żywiące się materią organiczną (substrate ingestion)</w:t>
      </w:r>
    </w:p>
    <w:p w14:paraId="0AF33CAD"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drapieżne (animal predation)</w:t>
      </w:r>
    </w:p>
    <w:p w14:paraId="306B5F70"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odżywiające się organizmami jednokomórkowymi (unicellular eucariote feeding)</w:t>
      </w:r>
    </w:p>
    <w:p w14:paraId="22391412" w14:textId="77777777" w:rsidR="00F54F0C" w:rsidRPr="003F10B1" w:rsidRDefault="00F54F0C" w:rsidP="00F54F0C">
      <w:pPr>
        <w:spacing w:after="0"/>
        <w:jc w:val="both"/>
        <w:rPr>
          <w:rFonts w:asciiTheme="majorHAnsi" w:hAnsiTheme="majorHAnsi" w:cstheme="majorHAnsi"/>
          <w:bCs/>
          <w:lang w:val="de-DE"/>
        </w:rPr>
      </w:pPr>
      <w:r w:rsidRPr="003F10B1">
        <w:rPr>
          <w:rFonts w:asciiTheme="majorHAnsi" w:hAnsiTheme="majorHAnsi" w:cstheme="majorHAnsi"/>
          <w:bCs/>
          <w:lang w:val="de-DE"/>
        </w:rPr>
        <w:t>•</w:t>
      </w:r>
      <w:r w:rsidRPr="003F10B1">
        <w:rPr>
          <w:rFonts w:asciiTheme="majorHAnsi" w:hAnsiTheme="majorHAnsi" w:cstheme="majorHAnsi"/>
          <w:bCs/>
          <w:lang w:val="de-DE"/>
        </w:rPr>
        <w:tab/>
        <w:t>pasożyty zwierząt (dispersal or infective stages of animal parasites)</w:t>
      </w:r>
    </w:p>
    <w:p w14:paraId="02C3BBDA" w14:textId="77777777" w:rsidR="00F54F0C" w:rsidRPr="003F10B1" w:rsidRDefault="00F54F0C" w:rsidP="00F54F0C">
      <w:pPr>
        <w:spacing w:after="0"/>
        <w:jc w:val="both"/>
        <w:rPr>
          <w:rFonts w:asciiTheme="majorHAnsi" w:hAnsiTheme="majorHAnsi" w:cstheme="majorHAnsi"/>
          <w:bCs/>
        </w:rPr>
      </w:pPr>
      <w:r w:rsidRPr="003F10B1">
        <w:rPr>
          <w:rFonts w:asciiTheme="majorHAnsi" w:hAnsiTheme="majorHAnsi" w:cstheme="majorHAnsi"/>
          <w:bCs/>
        </w:rPr>
        <w:t>•</w:t>
      </w:r>
      <w:r w:rsidRPr="003F10B1">
        <w:rPr>
          <w:rFonts w:asciiTheme="majorHAnsi" w:hAnsiTheme="majorHAnsi" w:cstheme="majorHAnsi"/>
          <w:bCs/>
        </w:rPr>
        <w:tab/>
        <w:t>wszystkożerne (omniovorous) - omniofagi</w:t>
      </w:r>
    </w:p>
    <w:p w14:paraId="43788A4D" w14:textId="67105BDC" w:rsidR="00F54F0C" w:rsidRPr="003F10B1" w:rsidRDefault="00F54F0C" w:rsidP="00F54F0C">
      <w:pPr>
        <w:jc w:val="both"/>
        <w:rPr>
          <w:rFonts w:asciiTheme="majorHAnsi" w:hAnsiTheme="majorHAnsi" w:cstheme="majorHAnsi"/>
        </w:rPr>
      </w:pPr>
      <w:r w:rsidRPr="003F10B1">
        <w:rPr>
          <w:rFonts w:asciiTheme="majorHAnsi" w:hAnsiTheme="majorHAnsi" w:cstheme="majorHAnsi"/>
        </w:rPr>
        <w:t xml:space="preserve">W każdej grupie nicienie identyfikowane będą do poziomu rodziny. Nicienie pasożyty roślin identyfikowane będą do gatunku. Oceny wykonane będą w sezonie i na zakończenie doświadczenia. </w:t>
      </w:r>
    </w:p>
    <w:p w14:paraId="6D8331BE" w14:textId="77777777" w:rsidR="006F1AB7" w:rsidRPr="003F10B1" w:rsidRDefault="006F1AB7" w:rsidP="00F54F0C">
      <w:pPr>
        <w:jc w:val="both"/>
        <w:rPr>
          <w:rFonts w:asciiTheme="majorHAnsi" w:hAnsiTheme="majorHAnsi" w:cstheme="majorHAnsi"/>
        </w:rPr>
      </w:pPr>
    </w:p>
    <w:p w14:paraId="1B6ACECF" w14:textId="77777777" w:rsidR="006F1AB7" w:rsidRPr="003F10B1" w:rsidRDefault="006F1AB7" w:rsidP="00F54F0C">
      <w:pPr>
        <w:jc w:val="both"/>
        <w:rPr>
          <w:rFonts w:asciiTheme="majorHAnsi" w:hAnsiTheme="majorHAnsi" w:cstheme="majorHAnsi"/>
        </w:rPr>
      </w:pPr>
    </w:p>
    <w:p w14:paraId="223CF1FF" w14:textId="77777777" w:rsidR="006F1AB7" w:rsidRPr="003F10B1" w:rsidRDefault="006F1AB7" w:rsidP="006F1AB7">
      <w:pPr>
        <w:jc w:val="both"/>
        <w:rPr>
          <w:rFonts w:asciiTheme="majorHAnsi" w:hAnsiTheme="majorHAnsi" w:cstheme="majorHAnsi"/>
          <w:b/>
        </w:rPr>
      </w:pPr>
      <w:r w:rsidRPr="003F10B1">
        <w:rPr>
          <w:rFonts w:asciiTheme="majorHAnsi" w:hAnsiTheme="majorHAnsi" w:cstheme="majorHAnsi"/>
          <w:b/>
        </w:rPr>
        <w:t>Ocena zmian aktywności biologicznej w glebie pod wpływem nawozów z dodatkami</w:t>
      </w:r>
    </w:p>
    <w:p w14:paraId="171C8EDE" w14:textId="77777777" w:rsidR="006F1AB7" w:rsidRPr="003F10B1" w:rsidRDefault="006F1AB7" w:rsidP="006F1AB7">
      <w:pPr>
        <w:jc w:val="both"/>
        <w:rPr>
          <w:rFonts w:asciiTheme="majorHAnsi" w:hAnsiTheme="majorHAnsi" w:cstheme="majorHAnsi"/>
        </w:rPr>
      </w:pPr>
      <w:r w:rsidRPr="003F10B1">
        <w:rPr>
          <w:rFonts w:asciiTheme="majorHAnsi" w:hAnsiTheme="majorHAnsi" w:cstheme="majorHAnsi"/>
        </w:rPr>
        <w:t>Ocena aktywności mikroorganizmów w glebie obejmie:</w:t>
      </w:r>
    </w:p>
    <w:p w14:paraId="3DA19C36" w14:textId="77777777" w:rsidR="006F1AB7" w:rsidRPr="003F10B1" w:rsidRDefault="006F1AB7" w:rsidP="006F1AB7">
      <w:pPr>
        <w:numPr>
          <w:ilvl w:val="0"/>
          <w:numId w:val="13"/>
        </w:numPr>
        <w:spacing w:after="0"/>
        <w:jc w:val="both"/>
        <w:rPr>
          <w:rFonts w:asciiTheme="majorHAnsi" w:hAnsiTheme="majorHAnsi" w:cstheme="majorHAnsi"/>
        </w:rPr>
      </w:pPr>
      <w:r w:rsidRPr="003F10B1">
        <w:rPr>
          <w:rFonts w:asciiTheme="majorHAnsi" w:hAnsiTheme="majorHAnsi" w:cstheme="majorHAnsi"/>
        </w:rPr>
        <w:t>oznaczenie aktywności oddechowej gleby - metodą respirometryczną</w:t>
      </w:r>
    </w:p>
    <w:p w14:paraId="7BF29AFB" w14:textId="77777777" w:rsidR="006F1AB7" w:rsidRPr="003F10B1" w:rsidRDefault="006F1AB7" w:rsidP="006F1AB7">
      <w:pPr>
        <w:widowControl w:val="0"/>
        <w:numPr>
          <w:ilvl w:val="0"/>
          <w:numId w:val="13"/>
        </w:numPr>
        <w:spacing w:after="0" w:line="276" w:lineRule="auto"/>
        <w:rPr>
          <w:rFonts w:asciiTheme="majorHAnsi" w:hAnsiTheme="majorHAnsi" w:cstheme="majorHAnsi"/>
        </w:rPr>
      </w:pPr>
      <w:r w:rsidRPr="003F10B1">
        <w:rPr>
          <w:rFonts w:asciiTheme="majorHAnsi" w:hAnsiTheme="majorHAnsi" w:cstheme="majorHAnsi"/>
        </w:rPr>
        <w:t>oznaczenie aktywności enzymatycznej w glebie - ogólna aktywność hydrolaz metodą spektrofluorymetryczną z zastosowaniem dwuoctanu fluoresceiny, aktywność dehydrogenaz - metodą TTC</w:t>
      </w:r>
    </w:p>
    <w:p w14:paraId="25308772" w14:textId="77777777" w:rsidR="006F1AB7" w:rsidRPr="003F10B1" w:rsidRDefault="006F1AB7" w:rsidP="006F1AB7">
      <w:pPr>
        <w:widowControl w:val="0"/>
        <w:numPr>
          <w:ilvl w:val="0"/>
          <w:numId w:val="13"/>
        </w:numPr>
        <w:spacing w:after="0" w:line="276" w:lineRule="auto"/>
        <w:rPr>
          <w:rFonts w:asciiTheme="majorHAnsi" w:hAnsiTheme="majorHAnsi" w:cstheme="majorHAnsi"/>
        </w:rPr>
      </w:pPr>
      <w:r w:rsidRPr="003F10B1">
        <w:rPr>
          <w:rFonts w:asciiTheme="majorHAnsi" w:hAnsiTheme="majorHAnsi" w:cstheme="majorHAnsi"/>
        </w:rPr>
        <w:t>oznaczenie liczebności głównych grup mikroorganizmów glebowych (bakterie właściwe, promieniowce, grzyby) oraz ich proporcji -  metodą wysiewów na dedykowane podłoża mikrobiologiczne</w:t>
      </w:r>
    </w:p>
    <w:p w14:paraId="51C8E86B" w14:textId="77777777" w:rsidR="006F1AB7" w:rsidRPr="003F10B1" w:rsidRDefault="006F1AB7" w:rsidP="006F1AB7">
      <w:pPr>
        <w:widowControl w:val="0"/>
        <w:numPr>
          <w:ilvl w:val="0"/>
          <w:numId w:val="13"/>
        </w:numPr>
        <w:spacing w:after="0" w:line="276" w:lineRule="auto"/>
        <w:rPr>
          <w:rFonts w:asciiTheme="majorHAnsi" w:hAnsiTheme="majorHAnsi" w:cstheme="majorHAnsi"/>
        </w:rPr>
      </w:pPr>
      <w:r w:rsidRPr="003F10B1">
        <w:rPr>
          <w:rFonts w:asciiTheme="majorHAnsi" w:hAnsiTheme="majorHAnsi" w:cstheme="majorHAnsi"/>
        </w:rPr>
        <w:t xml:space="preserve">określenie różnorodności funkcjonalnej mikrorganizmów w glebie - </w:t>
      </w:r>
      <w:r w:rsidRPr="003F10B1">
        <w:rPr>
          <w:rFonts w:asciiTheme="majorHAnsi" w:eastAsia="Roboto" w:hAnsiTheme="majorHAnsi" w:cstheme="majorHAnsi"/>
          <w:color w:val="333333"/>
          <w:highlight w:val="white"/>
        </w:rPr>
        <w:t xml:space="preserve"> metoda oparta będzie na ocenie zdolności drobnoustrojów do rozkładu różnych źródeł węgla </w:t>
      </w:r>
    </w:p>
    <w:p w14:paraId="2375F826" w14:textId="77777777" w:rsidR="006F1AB7" w:rsidRPr="003F10B1" w:rsidRDefault="006F1AB7" w:rsidP="00F54F0C">
      <w:pPr>
        <w:jc w:val="both"/>
        <w:rPr>
          <w:rFonts w:asciiTheme="majorHAnsi" w:hAnsiTheme="majorHAnsi" w:cstheme="majorHAnsi"/>
        </w:rPr>
      </w:pPr>
    </w:p>
    <w:p w14:paraId="2CA78155" w14:textId="77777777" w:rsidR="000E75BB" w:rsidRPr="003F10B1" w:rsidRDefault="000E75BB" w:rsidP="00F54F0C">
      <w:pPr>
        <w:jc w:val="both"/>
        <w:rPr>
          <w:rFonts w:asciiTheme="majorHAnsi" w:hAnsiTheme="majorHAnsi" w:cstheme="majorHAnsi"/>
        </w:rPr>
      </w:pPr>
    </w:p>
    <w:p w14:paraId="5D4D9165" w14:textId="77777777" w:rsidR="00F54F0C" w:rsidRPr="003F10B1" w:rsidRDefault="00F54F0C" w:rsidP="00F54F0C">
      <w:pPr>
        <w:jc w:val="both"/>
        <w:rPr>
          <w:rFonts w:asciiTheme="majorHAnsi" w:hAnsiTheme="majorHAnsi" w:cstheme="majorHAnsi"/>
          <w:b/>
        </w:rPr>
      </w:pPr>
      <w:r w:rsidRPr="003F10B1">
        <w:rPr>
          <w:rFonts w:asciiTheme="majorHAnsi" w:hAnsiTheme="majorHAnsi" w:cstheme="majorHAnsi"/>
          <w:b/>
        </w:rPr>
        <w:t>WPŁYW NAWOZU NA JAKOŚĆ I ILOŚĆ PLONU</w:t>
      </w:r>
    </w:p>
    <w:p w14:paraId="03CFC8B4"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b/>
          <w:color w:val="000000"/>
        </w:rPr>
      </w:pPr>
      <w:r w:rsidRPr="003F10B1">
        <w:rPr>
          <w:rFonts w:asciiTheme="majorHAnsi" w:hAnsiTheme="majorHAnsi" w:cstheme="majorHAnsi"/>
          <w:b/>
          <w:color w:val="000000"/>
        </w:rPr>
        <w:t>świeża masa/plon</w:t>
      </w:r>
    </w:p>
    <w:p w14:paraId="55536247"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Ocenie poddana będzie masa części nadziemnej roślin w trakcie sezonu wegetacyjnego (ok. 1-2 miesięcy od zastosowania nawożenia) oraz systematycznie zbierany uzyskany plon z roślin owocujących.</w:t>
      </w:r>
    </w:p>
    <w:p w14:paraId="7AEE232B"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b/>
          <w:color w:val="000000"/>
        </w:rPr>
      </w:pPr>
      <w:r w:rsidRPr="003F10B1">
        <w:rPr>
          <w:rFonts w:asciiTheme="majorHAnsi" w:hAnsiTheme="majorHAnsi" w:cstheme="majorHAnsi"/>
          <w:b/>
          <w:color w:val="000000"/>
        </w:rPr>
        <w:t xml:space="preserve">sucha masa </w:t>
      </w:r>
    </w:p>
    <w:p w14:paraId="1CC81F9C"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 xml:space="preserve">Zawartość suchej masy (SM) oznaczana będzie metodą wagową. Rozdrobniony, jednorodny materiał roślinny (oddzielnie liście, oddzielnie korzenie) o wysokiej wilgotności poddawany będzie wstępnemu suszeniu. W tym celu pobrana próbka (50 g lub więcej) z każdego powtórzenia będzie odważona z dokładnością odczytu 0,01 g i suszona w suszarce owiewowej z termoobiegiem w temperaturze 60°C±10°C przez 12 godzin. Po około 1-godzinnym schłodzeniu próbki na powietrzu ważona będzie z dokładnością odczytu 0,01g. </w:t>
      </w:r>
    </w:p>
    <w:p w14:paraId="4471683B"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 xml:space="preserve">Zawartość suchej masy SM liczona będzie ze wzoru: SM (%) = m/E x 100, gdzie m i E to wyrażone w gramach, odpowiednio: masa badanej próbki po wysuszeniu i początkowa masa badanej próbki. </w:t>
      </w:r>
    </w:p>
    <w:p w14:paraId="4DB880FD" w14:textId="77777777" w:rsidR="00F54F0C" w:rsidRPr="003F10B1" w:rsidRDefault="00F54F0C" w:rsidP="00F54F0C">
      <w:pPr>
        <w:jc w:val="both"/>
        <w:rPr>
          <w:rFonts w:asciiTheme="majorHAnsi" w:hAnsiTheme="majorHAnsi" w:cstheme="majorHAnsi"/>
          <w:b/>
        </w:rPr>
      </w:pPr>
    </w:p>
    <w:p w14:paraId="3A3956C8" w14:textId="77777777" w:rsidR="00F54F0C" w:rsidRPr="003F10B1" w:rsidRDefault="00F54F0C" w:rsidP="00F54F0C">
      <w:pPr>
        <w:jc w:val="both"/>
        <w:rPr>
          <w:rFonts w:asciiTheme="majorHAnsi" w:hAnsiTheme="majorHAnsi" w:cstheme="majorHAnsi"/>
          <w:b/>
        </w:rPr>
      </w:pPr>
      <w:r w:rsidRPr="003F10B1">
        <w:rPr>
          <w:rFonts w:asciiTheme="majorHAnsi" w:hAnsiTheme="majorHAnsi" w:cstheme="majorHAnsi"/>
          <w:b/>
        </w:rPr>
        <w:t>WPŁYW NAWOZU NA MORFOLOGIĘ ORAZ FOTOSYNTEZĘ ROŚLIN</w:t>
      </w:r>
    </w:p>
    <w:p w14:paraId="44C30D93"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b/>
          <w:color w:val="000000"/>
        </w:rPr>
      </w:pPr>
      <w:r w:rsidRPr="003F10B1">
        <w:rPr>
          <w:rFonts w:asciiTheme="majorHAnsi" w:hAnsiTheme="majorHAnsi" w:cstheme="majorHAnsi"/>
          <w:b/>
          <w:color w:val="000000"/>
        </w:rPr>
        <w:t>powierzchnia i liczba liści</w:t>
      </w:r>
    </w:p>
    <w:p w14:paraId="09EC8EDB"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 xml:space="preserve">Po zakończeniu doświadczenia zmierzone będą parametry wzrostu roślin. Z każdej kombinacji doświadczalnej obserwacjom poddanych będzie 5 roślin. Wykonane zostaną pomiary powierzchni liści oraz określona zostanie średnią liczbę liści na roślinie Powierzchnia liści określona będzie dla 10 losowo wybranych, w pełni rozwiniętych liści z każdej kombinacji doświadczalnej za pomocą planimetru optycznego. </w:t>
      </w:r>
    </w:p>
    <w:p w14:paraId="533121DA"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b/>
          <w:color w:val="000000"/>
        </w:rPr>
      </w:pPr>
      <w:r w:rsidRPr="003F10B1">
        <w:rPr>
          <w:rFonts w:asciiTheme="majorHAnsi" w:hAnsiTheme="majorHAnsi" w:cstheme="majorHAnsi"/>
          <w:b/>
          <w:color w:val="000000"/>
        </w:rPr>
        <w:t xml:space="preserve">chlorofil </w:t>
      </w:r>
    </w:p>
    <w:p w14:paraId="1EEC8E2D"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 xml:space="preserve">W trakcie trwania doświadczenia prowadzony będzie minimum dwukrotnie pomiar indeksu zawartości chlorofilu. Względna zawartość chlorofilu określona będzie przy użyciu miernika zawartości chlorofilu </w:t>
      </w:r>
      <w:r w:rsidRPr="003F10B1">
        <w:rPr>
          <w:rFonts w:asciiTheme="majorHAnsi" w:hAnsiTheme="majorHAnsi" w:cstheme="majorHAnsi"/>
        </w:rPr>
        <w:lastRenderedPageBreak/>
        <w:t>SPAD. Pomiary wykonane będą na 10 w pełni rozwiniętych liściach pobranych z roślin z każdej kombinacji doświadczalnej.</w:t>
      </w:r>
    </w:p>
    <w:p w14:paraId="74170FFD" w14:textId="77777777" w:rsidR="00F54F0C" w:rsidRPr="003F10B1" w:rsidRDefault="00F54F0C" w:rsidP="00F54F0C">
      <w:pPr>
        <w:jc w:val="both"/>
        <w:rPr>
          <w:rFonts w:asciiTheme="majorHAnsi" w:hAnsiTheme="majorHAnsi" w:cstheme="majorHAnsi"/>
          <w:b/>
        </w:rPr>
      </w:pPr>
    </w:p>
    <w:p w14:paraId="33CD4D3B" w14:textId="77777777" w:rsidR="00F54F0C" w:rsidRPr="003F10B1" w:rsidRDefault="00F54F0C" w:rsidP="00F54F0C">
      <w:pPr>
        <w:jc w:val="both"/>
        <w:rPr>
          <w:rFonts w:asciiTheme="majorHAnsi" w:hAnsiTheme="majorHAnsi" w:cstheme="majorHAnsi"/>
          <w:b/>
        </w:rPr>
      </w:pPr>
      <w:r w:rsidRPr="003F10B1">
        <w:rPr>
          <w:rFonts w:asciiTheme="majorHAnsi" w:hAnsiTheme="majorHAnsi" w:cstheme="majorHAnsi"/>
          <w:b/>
        </w:rPr>
        <w:t>WPŁYW NAWOZU NA ROZWÓJ I ZDROWOTNOŚĆ SYSTEMU KORZENIOWEGO</w:t>
      </w:r>
    </w:p>
    <w:p w14:paraId="66188EB2"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b/>
          <w:color w:val="000000"/>
        </w:rPr>
      </w:pPr>
      <w:r w:rsidRPr="003F10B1">
        <w:rPr>
          <w:rFonts w:asciiTheme="majorHAnsi" w:hAnsiTheme="majorHAnsi" w:cstheme="majorHAnsi"/>
          <w:b/>
          <w:color w:val="000000"/>
        </w:rPr>
        <w:t>masa korzeni</w:t>
      </w:r>
    </w:p>
    <w:p w14:paraId="572740B1"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Ocenie poddana będzie masa części podziemnej roślin w trakcie sezonu wegetacyjnego (ok. 1-2 miesięcy od zastosowania nawożenia) oraz na zakończenie sezonu. Ze względu na destruktywny rodzaj oceny - prowadzona będzie w każdym terminie na reprezentatywnej ilości roślin z każdego powtórzenia.</w:t>
      </w:r>
    </w:p>
    <w:p w14:paraId="17E9B413"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rPr>
      </w:pPr>
      <w:r w:rsidRPr="003F10B1">
        <w:rPr>
          <w:rFonts w:asciiTheme="majorHAnsi" w:hAnsiTheme="majorHAnsi" w:cstheme="majorHAnsi"/>
          <w:b/>
          <w:color w:val="000000"/>
        </w:rPr>
        <w:t>kondycja/jakość systemu korzeniowego</w:t>
      </w:r>
    </w:p>
    <w:p w14:paraId="7BADF459" w14:textId="77777777" w:rsidR="00F54F0C" w:rsidRPr="003F10B1" w:rsidRDefault="00F54F0C" w:rsidP="00F54F0C">
      <w:pPr>
        <w:jc w:val="both"/>
        <w:rPr>
          <w:rFonts w:asciiTheme="majorHAnsi" w:hAnsiTheme="majorHAnsi" w:cstheme="majorHAnsi"/>
        </w:rPr>
      </w:pPr>
      <w:r w:rsidRPr="003F10B1">
        <w:rPr>
          <w:rFonts w:asciiTheme="majorHAnsi" w:hAnsiTheme="majorHAnsi" w:cstheme="majorHAnsi"/>
        </w:rPr>
        <w:t>Ocenie poddana będzie jakość części podziemnej roślin w trakcie sezonu wegetacyjnego (ok. 1-2 miesięcy od zastosowania nawożenia) oraz na zakończenie sezonu. Kondycja systemu korzeniowego roślin oceniona będzie według pięciostopniowej skali, gdzie: 1- system korzeniowy w bardzo dobrej kondycji, brak widocznych nekroz, uszkodzeń czy deformacji systemu korzeniowego, 5 – system korzeniowy w stanie krytycznym.</w:t>
      </w:r>
    </w:p>
    <w:p w14:paraId="5B83E40E" w14:textId="77777777" w:rsidR="00F54F0C" w:rsidRPr="003F10B1" w:rsidRDefault="00F54F0C" w:rsidP="00F54F0C">
      <w:pPr>
        <w:numPr>
          <w:ilvl w:val="0"/>
          <w:numId w:val="1"/>
        </w:numPr>
        <w:pBdr>
          <w:top w:val="nil"/>
          <w:left w:val="nil"/>
          <w:bottom w:val="nil"/>
          <w:right w:val="nil"/>
          <w:between w:val="nil"/>
        </w:pBdr>
        <w:jc w:val="both"/>
        <w:rPr>
          <w:rFonts w:asciiTheme="majorHAnsi" w:hAnsiTheme="majorHAnsi" w:cstheme="majorHAnsi"/>
        </w:rPr>
      </w:pPr>
      <w:r w:rsidRPr="003F10B1">
        <w:rPr>
          <w:rFonts w:asciiTheme="majorHAnsi" w:hAnsiTheme="majorHAnsi" w:cstheme="majorHAnsi"/>
          <w:b/>
          <w:color w:val="000000"/>
        </w:rPr>
        <w:t>obecność czynników chorobotwórczych na korzeniach roślin</w:t>
      </w:r>
    </w:p>
    <w:p w14:paraId="7F21301C" w14:textId="711AAF0F" w:rsidR="00F54F0C" w:rsidRPr="003F10B1" w:rsidRDefault="00F54F0C" w:rsidP="00F54F0C">
      <w:pPr>
        <w:jc w:val="both"/>
        <w:rPr>
          <w:rFonts w:asciiTheme="majorHAnsi" w:hAnsiTheme="majorHAnsi" w:cstheme="majorHAnsi"/>
        </w:rPr>
      </w:pPr>
      <w:r w:rsidRPr="003F10B1">
        <w:rPr>
          <w:rFonts w:asciiTheme="majorHAnsi" w:hAnsiTheme="majorHAnsi" w:cstheme="majorHAnsi"/>
        </w:rPr>
        <w:t>w przypadku, gdy na ocenianym systemie korzeniowym widoczne będą zmiany związane z wystąpieniem agrofagów (nicieni pasożytów roślin lub grzybów chorobotwórczych), materiał roślinny poddany zostanie badaniom laboratoryjnym, organizm szkodliwy zostanie wyizolowany i poddany identyfikacji do gatunku.</w:t>
      </w:r>
    </w:p>
    <w:p w14:paraId="0000014B" w14:textId="3D850B55" w:rsidR="000D59FD" w:rsidRPr="003F10B1" w:rsidRDefault="000D59FD" w:rsidP="003F10B1">
      <w:pPr>
        <w:widowControl w:val="0"/>
        <w:spacing w:after="0" w:line="276" w:lineRule="auto"/>
        <w:ind w:left="720"/>
        <w:rPr>
          <w:rFonts w:asciiTheme="majorHAnsi" w:hAnsiTheme="majorHAnsi" w:cstheme="majorHAnsi"/>
        </w:rPr>
      </w:pPr>
    </w:p>
    <w:sectPr w:rsidR="000D59FD" w:rsidRPr="003F10B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AD6"/>
    <w:multiLevelType w:val="multilevel"/>
    <w:tmpl w:val="CC9C3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D773A"/>
    <w:multiLevelType w:val="hybridMultilevel"/>
    <w:tmpl w:val="73504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704E4"/>
    <w:multiLevelType w:val="multilevel"/>
    <w:tmpl w:val="AE36E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C96361"/>
    <w:multiLevelType w:val="multilevel"/>
    <w:tmpl w:val="A8241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D05D26"/>
    <w:multiLevelType w:val="multilevel"/>
    <w:tmpl w:val="789C5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E14354"/>
    <w:multiLevelType w:val="multilevel"/>
    <w:tmpl w:val="399EC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C3773D"/>
    <w:multiLevelType w:val="multilevel"/>
    <w:tmpl w:val="56288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094B3C"/>
    <w:multiLevelType w:val="multilevel"/>
    <w:tmpl w:val="E1B2F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967214"/>
    <w:multiLevelType w:val="multilevel"/>
    <w:tmpl w:val="80BC4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CF793D"/>
    <w:multiLevelType w:val="multilevel"/>
    <w:tmpl w:val="E1540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AB65A5"/>
    <w:multiLevelType w:val="multilevel"/>
    <w:tmpl w:val="67A0F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DB738F"/>
    <w:multiLevelType w:val="multilevel"/>
    <w:tmpl w:val="1416C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892027"/>
    <w:multiLevelType w:val="multilevel"/>
    <w:tmpl w:val="5590D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894D1B"/>
    <w:multiLevelType w:val="multilevel"/>
    <w:tmpl w:val="72A83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7A35BE"/>
    <w:multiLevelType w:val="multilevel"/>
    <w:tmpl w:val="14208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2656205">
    <w:abstractNumId w:val="10"/>
  </w:num>
  <w:num w:numId="2" w16cid:durableId="769156055">
    <w:abstractNumId w:val="5"/>
  </w:num>
  <w:num w:numId="3" w16cid:durableId="1429541569">
    <w:abstractNumId w:val="9"/>
  </w:num>
  <w:num w:numId="4" w16cid:durableId="57362140">
    <w:abstractNumId w:val="3"/>
  </w:num>
  <w:num w:numId="5" w16cid:durableId="1597712507">
    <w:abstractNumId w:val="8"/>
  </w:num>
  <w:num w:numId="6" w16cid:durableId="1874147088">
    <w:abstractNumId w:val="0"/>
  </w:num>
  <w:num w:numId="7" w16cid:durableId="955217550">
    <w:abstractNumId w:val="2"/>
  </w:num>
  <w:num w:numId="8" w16cid:durableId="1163618362">
    <w:abstractNumId w:val="13"/>
  </w:num>
  <w:num w:numId="9" w16cid:durableId="434788862">
    <w:abstractNumId w:val="7"/>
  </w:num>
  <w:num w:numId="10" w16cid:durableId="487333427">
    <w:abstractNumId w:val="6"/>
  </w:num>
  <w:num w:numId="11" w16cid:durableId="8215366">
    <w:abstractNumId w:val="14"/>
  </w:num>
  <w:num w:numId="12" w16cid:durableId="1582594501">
    <w:abstractNumId w:val="11"/>
  </w:num>
  <w:num w:numId="13" w16cid:durableId="2053380390">
    <w:abstractNumId w:val="4"/>
  </w:num>
  <w:num w:numId="14" w16cid:durableId="964308098">
    <w:abstractNumId w:val="12"/>
  </w:num>
  <w:num w:numId="15" w16cid:durableId="105954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FD"/>
    <w:rsid w:val="000D59FD"/>
    <w:rsid w:val="000E75BB"/>
    <w:rsid w:val="00126647"/>
    <w:rsid w:val="00142E43"/>
    <w:rsid w:val="00223A8F"/>
    <w:rsid w:val="00274B15"/>
    <w:rsid w:val="002A2C3B"/>
    <w:rsid w:val="00310BA2"/>
    <w:rsid w:val="0034230C"/>
    <w:rsid w:val="003F10B1"/>
    <w:rsid w:val="0051747D"/>
    <w:rsid w:val="0057036C"/>
    <w:rsid w:val="0058636F"/>
    <w:rsid w:val="005B3478"/>
    <w:rsid w:val="005D43BD"/>
    <w:rsid w:val="006530AF"/>
    <w:rsid w:val="006E1619"/>
    <w:rsid w:val="006F1AB7"/>
    <w:rsid w:val="007D6A81"/>
    <w:rsid w:val="00813652"/>
    <w:rsid w:val="009E52FA"/>
    <w:rsid w:val="00A12588"/>
    <w:rsid w:val="00A213F1"/>
    <w:rsid w:val="00A97743"/>
    <w:rsid w:val="00AE6D15"/>
    <w:rsid w:val="00C420AD"/>
    <w:rsid w:val="00CD6CD2"/>
    <w:rsid w:val="00E03257"/>
    <w:rsid w:val="00F54F0C"/>
    <w:rsid w:val="00F87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8BD1"/>
  <w15:docId w15:val="{D1BA2D84-0B44-43A5-8B36-84F586B6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9E52FA"/>
    <w:rPr>
      <w:b/>
      <w:bCs/>
    </w:rPr>
  </w:style>
  <w:style w:type="character" w:customStyle="1" w:styleId="TematkomentarzaZnak">
    <w:name w:val="Temat komentarza Znak"/>
    <w:basedOn w:val="TekstkomentarzaZnak"/>
    <w:link w:val="Tematkomentarza"/>
    <w:uiPriority w:val="99"/>
    <w:semiHidden/>
    <w:rsid w:val="009E52FA"/>
    <w:rPr>
      <w:b/>
      <w:bCs/>
      <w:sz w:val="20"/>
      <w:szCs w:val="20"/>
    </w:rPr>
  </w:style>
  <w:style w:type="paragraph" w:styleId="Akapitzlist">
    <w:name w:val="List Paragraph"/>
    <w:basedOn w:val="Normalny"/>
    <w:uiPriority w:val="34"/>
    <w:qFormat/>
    <w:rsid w:val="00E03257"/>
    <w:pPr>
      <w:ind w:left="720"/>
      <w:contextualSpacing/>
    </w:pPr>
  </w:style>
  <w:style w:type="paragraph" w:styleId="Poprawka">
    <w:name w:val="Revision"/>
    <w:hidden/>
    <w:uiPriority w:val="99"/>
    <w:semiHidden/>
    <w:rsid w:val="006F1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7076">
      <w:bodyDiv w:val="1"/>
      <w:marLeft w:val="0"/>
      <w:marRight w:val="0"/>
      <w:marTop w:val="0"/>
      <w:marBottom w:val="0"/>
      <w:divBdr>
        <w:top w:val="none" w:sz="0" w:space="0" w:color="auto"/>
        <w:left w:val="none" w:sz="0" w:space="0" w:color="auto"/>
        <w:bottom w:val="none" w:sz="0" w:space="0" w:color="auto"/>
        <w:right w:val="none" w:sz="0" w:space="0" w:color="auto"/>
      </w:divBdr>
    </w:div>
    <w:div w:id="75224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6d88651b3fe9565c52a3e3f23a5bf6ad">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47fee845adaf2d77159e701a55bca4bb"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XX5fvtBzQSKM1DAGVaJRdkK3Q==">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B616B-3133-4515-BF2B-E5093AD13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498C8C7-A598-4D06-A21D-D3EC535089AE}">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4.xml><?xml version="1.0" encoding="utf-8"?>
<ds:datastoreItem xmlns:ds="http://schemas.openxmlformats.org/officeDocument/2006/customXml" ds:itemID="{B379D8CC-5848-4339-8F3B-9FD74DA18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8688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Hołyszewski</dc:creator>
  <cp:lastModifiedBy>Grzegorz Hołyszewski</cp:lastModifiedBy>
  <cp:revision>7</cp:revision>
  <dcterms:created xsi:type="dcterms:W3CDTF">2023-10-18T12:56:00Z</dcterms:created>
  <dcterms:modified xsi:type="dcterms:W3CDTF">2023-10-19T07:48:00Z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