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67D18" w14:textId="2B0C3ACF" w:rsidR="00D94187" w:rsidRPr="00FC263A" w:rsidRDefault="00477976" w:rsidP="00477976">
      <w:pPr>
        <w:pStyle w:val="NormalnyWeb"/>
        <w:spacing w:before="280" w:beforeAutospacing="0" w:after="0" w:afterAutospacing="0"/>
        <w:ind w:left="720"/>
        <w:jc w:val="right"/>
        <w:rPr>
          <w:rFonts w:asciiTheme="minorHAnsi" w:hAnsiTheme="minorHAnsi" w:cstheme="minorHAnsi"/>
          <w:b/>
          <w:bCs/>
        </w:rPr>
      </w:pPr>
      <w:r w:rsidRPr="00FC263A">
        <w:rPr>
          <w:rFonts w:asciiTheme="minorHAnsi" w:hAnsiTheme="minorHAnsi" w:cstheme="minorHAnsi"/>
          <w:b/>
          <w:bCs/>
        </w:rPr>
        <w:t>Załącznik nr 1</w:t>
      </w:r>
      <w:r w:rsidR="006E6903">
        <w:rPr>
          <w:rFonts w:asciiTheme="minorHAnsi" w:hAnsiTheme="minorHAnsi" w:cstheme="minorHAnsi"/>
          <w:b/>
          <w:bCs/>
        </w:rPr>
        <w:t>a</w:t>
      </w:r>
      <w:r w:rsidRPr="00FC263A">
        <w:rPr>
          <w:rFonts w:asciiTheme="minorHAnsi" w:hAnsiTheme="minorHAnsi" w:cstheme="minorHAnsi"/>
          <w:b/>
          <w:bCs/>
        </w:rPr>
        <w:t xml:space="preserve"> – Opis przedmiotu zamówienia</w:t>
      </w:r>
    </w:p>
    <w:p w14:paraId="79BA5F47" w14:textId="77777777" w:rsidR="00477976" w:rsidRPr="00FC263A" w:rsidRDefault="00477976" w:rsidP="00477976">
      <w:pPr>
        <w:pStyle w:val="NormalnyWeb"/>
        <w:spacing w:before="280" w:beforeAutospacing="0" w:after="0" w:afterAutospacing="0"/>
        <w:ind w:left="720"/>
        <w:jc w:val="right"/>
        <w:rPr>
          <w:rFonts w:asciiTheme="minorHAnsi" w:hAnsiTheme="minorHAnsi" w:cstheme="minorHAnsi"/>
          <w:b/>
          <w:bCs/>
        </w:rPr>
      </w:pPr>
    </w:p>
    <w:p w14:paraId="7DAFE1A1" w14:textId="20681233" w:rsidR="00477976" w:rsidRPr="00FC263A" w:rsidRDefault="00477976" w:rsidP="00477976">
      <w:pPr>
        <w:pStyle w:val="NormalnyWeb"/>
        <w:spacing w:before="280" w:beforeAutospacing="0" w:after="0" w:afterAutospacing="0"/>
        <w:ind w:left="720"/>
        <w:jc w:val="center"/>
        <w:rPr>
          <w:rFonts w:asciiTheme="minorHAnsi" w:hAnsiTheme="minorHAnsi" w:cstheme="minorHAnsi"/>
          <w:b/>
          <w:bCs/>
          <w:sz w:val="24"/>
          <w:szCs w:val="24"/>
        </w:rPr>
      </w:pPr>
      <w:r w:rsidRPr="00FC263A">
        <w:rPr>
          <w:rFonts w:asciiTheme="minorHAnsi" w:hAnsiTheme="minorHAnsi" w:cstheme="minorHAnsi"/>
          <w:b/>
          <w:bCs/>
          <w:sz w:val="24"/>
          <w:szCs w:val="24"/>
        </w:rPr>
        <w:t>Opis potrzeb i wymagań w zakresie realizacji przedmiotu zamówienia</w:t>
      </w:r>
    </w:p>
    <w:p w14:paraId="3C29F363" w14:textId="77777777" w:rsidR="00D94187" w:rsidRPr="00FC263A" w:rsidRDefault="00D94187">
      <w:pPr>
        <w:pStyle w:val="Tekstpodstawowy"/>
        <w:tabs>
          <w:tab w:val="left" w:pos="8753"/>
        </w:tabs>
        <w:rPr>
          <w:rFonts w:asciiTheme="minorHAnsi" w:hAnsiTheme="minorHAnsi" w:cstheme="minorHAnsi"/>
        </w:rPr>
      </w:pPr>
    </w:p>
    <w:p w14:paraId="7A2EDDDF" w14:textId="77777777" w:rsidR="00D94187" w:rsidRPr="00FC263A" w:rsidRDefault="00D94187">
      <w:pPr>
        <w:pStyle w:val="Tekstpodstawowy"/>
        <w:tabs>
          <w:tab w:val="left" w:pos="8753"/>
        </w:tabs>
        <w:rPr>
          <w:rFonts w:asciiTheme="minorHAnsi" w:hAnsiTheme="minorHAnsi" w:cstheme="minorHAnsi"/>
        </w:rPr>
      </w:pPr>
    </w:p>
    <w:p w14:paraId="73029EC8" w14:textId="1C0B198B" w:rsidR="00D94187" w:rsidRPr="00FC263A" w:rsidRDefault="009A487B" w:rsidP="00477976">
      <w:pPr>
        <w:pStyle w:val="Akapitzlist"/>
        <w:keepNext/>
        <w:keepLines/>
        <w:numPr>
          <w:ilvl w:val="0"/>
          <w:numId w:val="9"/>
        </w:numPr>
        <w:spacing w:before="40" w:after="120"/>
        <w:outlineLvl w:val="3"/>
        <w:rPr>
          <w:rFonts w:asciiTheme="minorHAnsi" w:eastAsiaTheme="majorEastAsia" w:hAnsiTheme="minorHAnsi" w:cstheme="minorHAnsi"/>
          <w:b/>
          <w:bCs/>
          <w:iCs/>
        </w:rPr>
      </w:pPr>
      <w:bookmarkStart w:id="0" w:name="_Toc140228634"/>
      <w:r w:rsidRPr="00FC263A">
        <w:rPr>
          <w:rFonts w:asciiTheme="minorHAnsi" w:eastAsiaTheme="majorEastAsia" w:hAnsiTheme="minorHAnsi" w:cstheme="minorHAnsi"/>
          <w:b/>
          <w:iCs/>
        </w:rPr>
        <w:t>Wymagania</w:t>
      </w:r>
      <w:r w:rsidRPr="00FC263A">
        <w:rPr>
          <w:rFonts w:asciiTheme="minorHAnsi" w:eastAsiaTheme="majorEastAsia" w:hAnsiTheme="minorHAnsi" w:cstheme="minorHAnsi"/>
          <w:b/>
          <w:bCs/>
          <w:iCs/>
        </w:rPr>
        <w:t xml:space="preserve"> dotyczące rozmieszczenia instalacji</w:t>
      </w:r>
      <w:bookmarkEnd w:id="0"/>
    </w:p>
    <w:p w14:paraId="469258B7" w14:textId="15AC7A63" w:rsidR="00D94187" w:rsidRPr="00FC263A" w:rsidRDefault="009A487B">
      <w:pPr>
        <w:spacing w:after="120" w:line="240" w:lineRule="auto"/>
        <w:jc w:val="both"/>
        <w:rPr>
          <w:rFonts w:cstheme="minorHAnsi"/>
        </w:rPr>
      </w:pPr>
      <w:r w:rsidRPr="00FC263A">
        <w:rPr>
          <w:rFonts w:cstheme="minorHAnsi"/>
        </w:rPr>
        <w:t xml:space="preserve">Wykonawca jest obowiązany do ustalenia </w:t>
      </w:r>
      <w:bookmarkStart w:id="1" w:name="_Hlk146787688"/>
      <w:r w:rsidR="00477976" w:rsidRPr="00FC263A">
        <w:rPr>
          <w:rFonts w:cstheme="minorHAnsi"/>
        </w:rPr>
        <w:t xml:space="preserve">z Zamawiającym, </w:t>
      </w:r>
      <w:r w:rsidRPr="00FC263A">
        <w:rPr>
          <w:rFonts w:cstheme="minorHAnsi"/>
        </w:rPr>
        <w:t xml:space="preserve">podczas </w:t>
      </w:r>
      <w:r w:rsidR="00477976" w:rsidRPr="00FC263A">
        <w:rPr>
          <w:rFonts w:cstheme="minorHAnsi"/>
        </w:rPr>
        <w:t>realizacji umowy,</w:t>
      </w:r>
      <w:r w:rsidRPr="00FC263A">
        <w:rPr>
          <w:rFonts w:cstheme="minorHAnsi"/>
        </w:rPr>
        <w:t xml:space="preserve"> </w:t>
      </w:r>
      <w:bookmarkEnd w:id="1"/>
      <w:r w:rsidR="00477976" w:rsidRPr="00FC263A">
        <w:rPr>
          <w:rFonts w:cstheme="minorHAnsi"/>
        </w:rPr>
        <w:t>rodzaj niezbędnych</w:t>
      </w:r>
      <w:r w:rsidRPr="00FC263A">
        <w:rPr>
          <w:rFonts w:cstheme="minorHAnsi"/>
        </w:rPr>
        <w:t xml:space="preserve"> do montażu instalacji PV naprawy połaci dachu w zakresie ściśle uzgodnionym z Zamawiającym.</w:t>
      </w:r>
    </w:p>
    <w:p w14:paraId="0E626873" w14:textId="77777777" w:rsidR="00D94187" w:rsidRPr="00FC263A" w:rsidRDefault="009A487B">
      <w:pPr>
        <w:spacing w:after="120" w:line="240" w:lineRule="auto"/>
        <w:jc w:val="both"/>
        <w:rPr>
          <w:rFonts w:cstheme="minorHAnsi"/>
        </w:rPr>
      </w:pPr>
      <w:r w:rsidRPr="00FC263A">
        <w:rPr>
          <w:rFonts w:cstheme="minorHAnsi"/>
        </w:rPr>
        <w:t>Zamawiający nie przewiduje możliwości wycięcia drzew w okolicy żadnej z lokalizacji objętych zadaniem inwestycyjnym.</w:t>
      </w:r>
    </w:p>
    <w:p w14:paraId="704DAF29" w14:textId="77777777" w:rsidR="00D94187" w:rsidRPr="00FC263A" w:rsidRDefault="009A487B">
      <w:pPr>
        <w:spacing w:after="120" w:line="240" w:lineRule="auto"/>
        <w:jc w:val="both"/>
        <w:rPr>
          <w:rFonts w:cstheme="minorHAnsi"/>
        </w:rPr>
      </w:pPr>
      <w:r w:rsidRPr="00FC263A">
        <w:rPr>
          <w:rFonts w:cstheme="minorHAnsi"/>
        </w:rPr>
        <w:t xml:space="preserve">Zamawiający nie przewiduje ingerencji w konstrukcję żadnego z budynków, na których montowana będzie instalacja PV. </w:t>
      </w:r>
    </w:p>
    <w:p w14:paraId="6F459840" w14:textId="4D3CA474" w:rsidR="00D94187" w:rsidRPr="00FC263A" w:rsidRDefault="009A487B">
      <w:pPr>
        <w:spacing w:after="120" w:line="240" w:lineRule="auto"/>
        <w:jc w:val="both"/>
        <w:rPr>
          <w:rFonts w:cstheme="minorHAnsi"/>
        </w:rPr>
      </w:pPr>
      <w:r w:rsidRPr="00FC263A">
        <w:rPr>
          <w:rFonts w:cstheme="minorHAnsi"/>
        </w:rPr>
        <w:t xml:space="preserve">Wykonawca zobowiązany jest do ustalenia </w:t>
      </w:r>
      <w:r w:rsidR="00477976" w:rsidRPr="00FC263A">
        <w:rPr>
          <w:rFonts w:cstheme="minorHAnsi"/>
        </w:rPr>
        <w:t xml:space="preserve">z Zamawiającym, podczas realizacji umowy, </w:t>
      </w:r>
      <w:r w:rsidRPr="00FC263A">
        <w:rPr>
          <w:rFonts w:cstheme="minorHAnsi"/>
        </w:rPr>
        <w:t>możliwych miejsc montażu paneli fotowoltaicznych oraz tras kablowych</w:t>
      </w:r>
      <w:r w:rsidR="00477976" w:rsidRPr="00FC263A">
        <w:rPr>
          <w:rFonts w:cstheme="minorHAnsi"/>
        </w:rPr>
        <w:t>.</w:t>
      </w:r>
    </w:p>
    <w:p w14:paraId="5BEEBFDE" w14:textId="77777777" w:rsidR="00D94187" w:rsidRPr="00FC263A" w:rsidRDefault="009A487B">
      <w:pPr>
        <w:spacing w:after="120" w:line="240" w:lineRule="auto"/>
        <w:jc w:val="both"/>
        <w:rPr>
          <w:rFonts w:cstheme="minorHAnsi"/>
        </w:rPr>
      </w:pPr>
      <w:r w:rsidRPr="00FC263A">
        <w:rPr>
          <w:rFonts w:cstheme="minorHAnsi"/>
        </w:rPr>
        <w:t xml:space="preserve">Wykonawca wykona niezbędną konstrukcję wsporczą dla paneli zgodnie z obowiązującymi standardami rynkowymi. Powinna być to konstrukcja przeznaczona do systemów fotowoltaicznych wykonana z odpowiednich materiałów (aluminium, stal nierdzewna, stal ocynkowana ogniowo) montowanych na dachu budynku. Konstrukcja wsporcza musi być dostosowana do warunków atmosferycznych i obciążenia połaci dachowej. Wszędzie tam gdzie jest to możliwe należy wykonać konstrukcje wsporcze nie ingerujące w poszycie dachu. </w:t>
      </w:r>
      <w:r w:rsidRPr="00FC263A">
        <w:rPr>
          <w:rFonts w:cstheme="minorHAnsi"/>
          <w:b/>
          <w:bCs/>
        </w:rPr>
        <w:t xml:space="preserve">Zamawiający wymaga zastosowania konstrukcji uziemionej balastowej na dach papowy. Odporność według II i III strefy wiatrowej. </w:t>
      </w:r>
    </w:p>
    <w:p w14:paraId="714381C9" w14:textId="77777777" w:rsidR="00D94187" w:rsidRPr="00FC263A" w:rsidRDefault="009A487B">
      <w:pPr>
        <w:spacing w:after="120" w:line="240" w:lineRule="auto"/>
        <w:jc w:val="both"/>
        <w:rPr>
          <w:rFonts w:cstheme="minorHAnsi"/>
        </w:rPr>
      </w:pPr>
      <w:r w:rsidRPr="00FC263A">
        <w:rPr>
          <w:rFonts w:cstheme="minorHAnsi"/>
        </w:rPr>
        <w:t>Rozmieszczenie paneli względem stron świata – Zamawiający planuje montaż paneli w kierunku południowym.</w:t>
      </w:r>
    </w:p>
    <w:p w14:paraId="45D6E991" w14:textId="77777777" w:rsidR="00D94187" w:rsidRPr="00FC263A" w:rsidRDefault="009A487B">
      <w:pPr>
        <w:spacing w:after="120" w:line="240" w:lineRule="auto"/>
        <w:jc w:val="both"/>
        <w:rPr>
          <w:rFonts w:cstheme="minorHAnsi"/>
        </w:rPr>
      </w:pPr>
      <w:r w:rsidRPr="00FC263A">
        <w:rPr>
          <w:rFonts w:cstheme="minorHAnsi"/>
        </w:rPr>
        <w:t>Kąt nachylenia paneli powinien być tak dobrany, aby umożliwić optymalną pracę układu i uzyskanie możliwie największej ilości energii, jednakże kąt nie może być mniejszy niż 15</w:t>
      </w:r>
      <w:r w:rsidRPr="00FC263A">
        <w:rPr>
          <w:rFonts w:cstheme="minorHAnsi"/>
          <w:vertAlign w:val="superscript"/>
        </w:rPr>
        <w:t>o</w:t>
      </w:r>
      <w:r w:rsidRPr="00FC263A">
        <w:rPr>
          <w:rFonts w:cstheme="minorHAnsi"/>
        </w:rPr>
        <w:t>.</w:t>
      </w:r>
    </w:p>
    <w:p w14:paraId="60CB28BB" w14:textId="77777777" w:rsidR="00D94187" w:rsidRPr="00FC263A" w:rsidRDefault="009A487B">
      <w:pPr>
        <w:spacing w:after="120" w:line="240" w:lineRule="auto"/>
        <w:jc w:val="both"/>
        <w:rPr>
          <w:rFonts w:cstheme="minorHAnsi"/>
        </w:rPr>
      </w:pPr>
      <w:r w:rsidRPr="00FC263A">
        <w:rPr>
          <w:rFonts w:cstheme="minorHAnsi"/>
        </w:rPr>
        <w:t>Należy zastosować optymalny kąt azymutu, z ewentualnym odchyleniem, gwarantującym wymaganą sprawność́ i efektywną pracę instalacji paneli fotowoltaicznych w skali całego roku; najefektywniejsza lokalizacja powinna być traktowana priorytetowo i dopiero na wyraźne życzenie Zamawiającego możliwa jest inna lokalizacja. Zamawiający musi zostać poinformowany o wadach (spadku efektywności) takiego rozwiązania.</w:t>
      </w:r>
    </w:p>
    <w:p w14:paraId="6CE66B97" w14:textId="77777777" w:rsidR="00D94187" w:rsidRPr="00FC263A" w:rsidRDefault="009A487B">
      <w:pPr>
        <w:spacing w:after="120" w:line="240" w:lineRule="auto"/>
        <w:jc w:val="both"/>
        <w:rPr>
          <w:rFonts w:cstheme="minorHAnsi"/>
        </w:rPr>
      </w:pPr>
      <w:r w:rsidRPr="00FC263A">
        <w:rPr>
          <w:rFonts w:cstheme="minorHAnsi"/>
        </w:rPr>
        <w:t>Należy tak łączyć panele w stringi by minimalizować negatywny efekt zacienienia, zwłaszcza w miesiącach zimowych.</w:t>
      </w:r>
    </w:p>
    <w:p w14:paraId="5EBA8201" w14:textId="77777777" w:rsidR="00D94187" w:rsidRPr="00FC263A" w:rsidRDefault="009A487B">
      <w:pPr>
        <w:spacing w:after="120" w:line="240" w:lineRule="auto"/>
        <w:jc w:val="both"/>
        <w:rPr>
          <w:rFonts w:cstheme="minorHAnsi"/>
        </w:rPr>
      </w:pPr>
      <w:r w:rsidRPr="00FC263A">
        <w:rPr>
          <w:rFonts w:cstheme="minorHAnsi"/>
        </w:rPr>
        <w:t>Należy tak zamontować panele fotowoltaiczne aby w przyszłości można było je zdemontować albo przesunąć w celu konserwacji dachu lub wymiany papy itp.</w:t>
      </w:r>
    </w:p>
    <w:p w14:paraId="748D89B9" w14:textId="77777777" w:rsidR="00FC263A" w:rsidRPr="00FC263A" w:rsidRDefault="00FC263A">
      <w:pPr>
        <w:spacing w:after="120" w:line="240" w:lineRule="auto"/>
        <w:jc w:val="both"/>
        <w:rPr>
          <w:rFonts w:cstheme="minorHAnsi"/>
        </w:rPr>
      </w:pPr>
    </w:p>
    <w:p w14:paraId="341A4DD6" w14:textId="668025D4" w:rsidR="00D94187" w:rsidRPr="00FC263A" w:rsidRDefault="00FC263A" w:rsidP="00FC263A">
      <w:pPr>
        <w:keepNext/>
        <w:keepLines/>
        <w:spacing w:before="40" w:after="120" w:line="240" w:lineRule="auto"/>
        <w:outlineLvl w:val="3"/>
        <w:rPr>
          <w:rFonts w:eastAsiaTheme="majorEastAsia" w:cstheme="minorHAnsi"/>
          <w:b/>
          <w:bCs/>
          <w:iCs/>
          <w:sz w:val="24"/>
          <w:szCs w:val="24"/>
        </w:rPr>
      </w:pPr>
      <w:r>
        <w:rPr>
          <w:rFonts w:eastAsiaTheme="majorEastAsia" w:cstheme="minorHAnsi"/>
          <w:b/>
          <w:bCs/>
          <w:iCs/>
          <w:sz w:val="24"/>
          <w:szCs w:val="24"/>
        </w:rPr>
        <w:t xml:space="preserve">2. </w:t>
      </w:r>
      <w:bookmarkStart w:id="2" w:name="_Toc140228635"/>
      <w:r w:rsidR="009A487B" w:rsidRPr="00FC263A">
        <w:rPr>
          <w:rFonts w:eastAsiaTheme="majorEastAsia" w:cstheme="minorHAnsi"/>
          <w:b/>
          <w:bCs/>
          <w:iCs/>
          <w:sz w:val="24"/>
          <w:szCs w:val="24"/>
        </w:rPr>
        <w:t>Wymagania dotyczące instalacji</w:t>
      </w:r>
      <w:bookmarkEnd w:id="2"/>
      <w:r w:rsidR="009A487B" w:rsidRPr="00FC263A">
        <w:rPr>
          <w:rFonts w:eastAsiaTheme="majorEastAsia" w:cstheme="minorHAnsi"/>
          <w:b/>
          <w:bCs/>
          <w:iCs/>
          <w:sz w:val="24"/>
          <w:szCs w:val="24"/>
        </w:rPr>
        <w:t xml:space="preserve"> </w:t>
      </w:r>
    </w:p>
    <w:p w14:paraId="7028CCAD" w14:textId="77777777" w:rsidR="00D94187" w:rsidRPr="00FC263A" w:rsidRDefault="009A487B">
      <w:pPr>
        <w:jc w:val="both"/>
        <w:rPr>
          <w:rFonts w:cstheme="minorHAnsi"/>
        </w:rPr>
      </w:pPr>
      <w:r w:rsidRPr="00FC263A">
        <w:rPr>
          <w:rFonts w:cstheme="minorHAnsi"/>
        </w:rPr>
        <w:t>Wykonawca wykona instalację PV wraz z niezbędnym okablowaniem do podłączenia paneli PV. Zastosowane przez Wykonawcę urządzenia i przewody instalacji PV powinny odpowiadać warunkom pracy instalacji fotowoltaicznej (natężenie, napięcie) w lokalizacji, w której będą montowane.</w:t>
      </w:r>
    </w:p>
    <w:p w14:paraId="6841030E" w14:textId="060873C8" w:rsidR="00D94187" w:rsidRPr="00FC263A" w:rsidRDefault="009A487B">
      <w:pPr>
        <w:jc w:val="both"/>
        <w:rPr>
          <w:rFonts w:cstheme="minorHAnsi"/>
        </w:rPr>
      </w:pPr>
      <w:r w:rsidRPr="00FC263A">
        <w:rPr>
          <w:rFonts w:cstheme="minorHAnsi"/>
        </w:rPr>
        <w:t>Wykonawca jest zobowiązany do wpięcia instalacji PV do głównego wyłącznika prądu  (licznik nr 2) obiektu, wraz z poprawnym wykonaniem (2 szt.) awaryjnych wyłączników przy głównych awaryjnych wyłącznikach prądu obiektu z ich poprawnym oznakowaniem ( wejście do serwisu i wejście do salonu KIA).</w:t>
      </w:r>
    </w:p>
    <w:p w14:paraId="211F13D1" w14:textId="77777777" w:rsidR="00D94187" w:rsidRPr="00FC263A" w:rsidRDefault="00D94187">
      <w:pPr>
        <w:jc w:val="both"/>
        <w:rPr>
          <w:rFonts w:cstheme="minorHAnsi"/>
          <w:b/>
          <w:bCs/>
          <w:color w:val="F10D0C"/>
        </w:rPr>
      </w:pPr>
    </w:p>
    <w:p w14:paraId="404809B3" w14:textId="77777777" w:rsidR="00D94187" w:rsidRPr="00FC263A" w:rsidRDefault="009A487B">
      <w:pPr>
        <w:jc w:val="both"/>
        <w:rPr>
          <w:rFonts w:cstheme="minorHAnsi"/>
        </w:rPr>
      </w:pPr>
      <w:r w:rsidRPr="00FC263A">
        <w:rPr>
          <w:rFonts w:cstheme="minorHAnsi"/>
        </w:rPr>
        <w:lastRenderedPageBreak/>
        <w:t>Wykonawca dokona weryfikacji stanu istniejącej instalacji odgromowej oraz istniejącej instalacji elektrycznej.</w:t>
      </w:r>
    </w:p>
    <w:p w14:paraId="26A8EA86" w14:textId="77777777" w:rsidR="00D94187" w:rsidRPr="00FC263A" w:rsidRDefault="009A487B">
      <w:pPr>
        <w:spacing w:after="0" w:line="240" w:lineRule="auto"/>
        <w:jc w:val="both"/>
        <w:rPr>
          <w:rFonts w:cstheme="minorHAnsi"/>
        </w:rPr>
      </w:pPr>
      <w:r w:rsidRPr="00FC263A">
        <w:rPr>
          <w:rFonts w:cstheme="minorHAnsi"/>
        </w:rPr>
        <w:t>Szczegółowy zakres prac:</w:t>
      </w:r>
    </w:p>
    <w:p w14:paraId="3939EFFF" w14:textId="77777777" w:rsidR="00D94187" w:rsidRPr="00FC263A" w:rsidRDefault="009A487B">
      <w:pPr>
        <w:numPr>
          <w:ilvl w:val="0"/>
          <w:numId w:val="3"/>
        </w:numPr>
        <w:ind w:left="851" w:hanging="425"/>
        <w:contextualSpacing/>
        <w:jc w:val="both"/>
        <w:rPr>
          <w:rFonts w:cstheme="minorHAnsi"/>
        </w:rPr>
      </w:pPr>
      <w:r w:rsidRPr="00FC263A">
        <w:rPr>
          <w:rFonts w:cstheme="minorHAnsi"/>
        </w:rPr>
        <w:t>montaż paneli fotowoltaicznych na przeznaczonej do tego konstrukcji,</w:t>
      </w:r>
    </w:p>
    <w:p w14:paraId="7EB8D0E4" w14:textId="77777777" w:rsidR="00D94187" w:rsidRPr="00FC263A" w:rsidRDefault="009A487B">
      <w:pPr>
        <w:numPr>
          <w:ilvl w:val="0"/>
          <w:numId w:val="3"/>
        </w:numPr>
        <w:ind w:left="851" w:hanging="425"/>
        <w:contextualSpacing/>
        <w:jc w:val="both"/>
        <w:rPr>
          <w:rFonts w:cstheme="minorHAnsi"/>
        </w:rPr>
      </w:pPr>
      <w:r w:rsidRPr="00FC263A">
        <w:rPr>
          <w:rFonts w:cstheme="minorHAnsi"/>
        </w:rPr>
        <w:t>położenie przewodów łączących panele fotowoltaiczne z inwerterem w wyznaczonych w dokumentacji trasach,</w:t>
      </w:r>
    </w:p>
    <w:p w14:paraId="1332B111" w14:textId="77777777" w:rsidR="00D94187" w:rsidRPr="00FC263A" w:rsidRDefault="009A487B">
      <w:pPr>
        <w:numPr>
          <w:ilvl w:val="0"/>
          <w:numId w:val="3"/>
        </w:numPr>
        <w:ind w:left="851" w:hanging="425"/>
        <w:contextualSpacing/>
        <w:jc w:val="both"/>
        <w:rPr>
          <w:rFonts w:cstheme="minorHAnsi"/>
        </w:rPr>
      </w:pPr>
      <w:r w:rsidRPr="00FC263A">
        <w:rPr>
          <w:rFonts w:cstheme="minorHAnsi"/>
        </w:rPr>
        <w:t>montaż inwertera w uzgodnionej w dokumentacji lokalizacji,</w:t>
      </w:r>
    </w:p>
    <w:p w14:paraId="1ABFA4EE" w14:textId="2F18A223" w:rsidR="00D94187" w:rsidRPr="00FC263A" w:rsidRDefault="009A487B">
      <w:pPr>
        <w:numPr>
          <w:ilvl w:val="0"/>
          <w:numId w:val="3"/>
        </w:numPr>
        <w:ind w:left="851" w:hanging="425"/>
        <w:contextualSpacing/>
        <w:jc w:val="both"/>
        <w:rPr>
          <w:rFonts w:cstheme="minorHAnsi"/>
        </w:rPr>
      </w:pPr>
      <w:r w:rsidRPr="00FC263A">
        <w:rPr>
          <w:rFonts w:cstheme="minorHAnsi"/>
        </w:rPr>
        <w:t>wymiana instalacji elektrycznej w niezbędnym zakresie,</w:t>
      </w:r>
    </w:p>
    <w:p w14:paraId="45270A70" w14:textId="77777777" w:rsidR="00D94187" w:rsidRPr="00FC263A" w:rsidRDefault="009A487B">
      <w:pPr>
        <w:numPr>
          <w:ilvl w:val="0"/>
          <w:numId w:val="3"/>
        </w:numPr>
        <w:ind w:left="851" w:hanging="425"/>
        <w:contextualSpacing/>
        <w:jc w:val="both"/>
        <w:rPr>
          <w:rFonts w:cstheme="minorHAnsi"/>
        </w:rPr>
      </w:pPr>
      <w:r w:rsidRPr="00FC263A">
        <w:rPr>
          <w:rFonts w:cstheme="minorHAnsi"/>
        </w:rPr>
        <w:t>podłączenie inwertera do instalacji elektrycznej obiektu i montaż niezbędnych zabezpieczeń oraz automatyki,</w:t>
      </w:r>
    </w:p>
    <w:p w14:paraId="05C84B93" w14:textId="77777777" w:rsidR="00D94187" w:rsidRPr="00FC263A" w:rsidRDefault="009A487B">
      <w:pPr>
        <w:numPr>
          <w:ilvl w:val="0"/>
          <w:numId w:val="3"/>
        </w:numPr>
        <w:ind w:left="851" w:hanging="425"/>
        <w:contextualSpacing/>
        <w:jc w:val="both"/>
        <w:rPr>
          <w:rFonts w:cstheme="minorHAnsi"/>
        </w:rPr>
      </w:pPr>
      <w:r w:rsidRPr="00FC263A">
        <w:rPr>
          <w:rFonts w:cstheme="minorHAnsi"/>
        </w:rPr>
        <w:t>wyposażenie instalacji w dodatkowe zabezpieczenia przeciwpożarowe</w:t>
      </w:r>
    </w:p>
    <w:p w14:paraId="7007F48E" w14:textId="0160D9ED" w:rsidR="00D94187" w:rsidRPr="00FC263A" w:rsidRDefault="009A487B">
      <w:pPr>
        <w:numPr>
          <w:ilvl w:val="0"/>
          <w:numId w:val="3"/>
        </w:numPr>
        <w:ind w:left="851" w:hanging="425"/>
        <w:contextualSpacing/>
        <w:jc w:val="both"/>
        <w:rPr>
          <w:rFonts w:cstheme="minorHAnsi"/>
        </w:rPr>
      </w:pPr>
      <w:r w:rsidRPr="00FC263A">
        <w:rPr>
          <w:rFonts w:cstheme="minorHAnsi"/>
        </w:rPr>
        <w:t>zabezpieczenie całej instalacji w tym urządzeń , instalacji , wejść do elementów instalacji</w:t>
      </w:r>
      <w:r w:rsidR="00FC263A">
        <w:rPr>
          <w:rFonts w:cstheme="minorHAnsi"/>
        </w:rPr>
        <w:t>,</w:t>
      </w:r>
      <w:r w:rsidRPr="00FC263A">
        <w:rPr>
          <w:rFonts w:cstheme="minorHAnsi"/>
        </w:rPr>
        <w:t xml:space="preserve"> przed zwierzętami i warunkami atmosferycznymi</w:t>
      </w:r>
      <w:r w:rsidR="00FC263A">
        <w:rPr>
          <w:rFonts w:cstheme="minorHAnsi"/>
        </w:rPr>
        <w:t>,</w:t>
      </w:r>
    </w:p>
    <w:p w14:paraId="7C3DE797" w14:textId="77777777" w:rsidR="00D94187" w:rsidRPr="00FC263A" w:rsidRDefault="009A487B">
      <w:pPr>
        <w:numPr>
          <w:ilvl w:val="0"/>
          <w:numId w:val="3"/>
        </w:numPr>
        <w:ind w:left="851" w:hanging="425"/>
        <w:contextualSpacing/>
        <w:jc w:val="both"/>
        <w:rPr>
          <w:rFonts w:cstheme="minorHAnsi"/>
        </w:rPr>
      </w:pPr>
      <w:r w:rsidRPr="00FC263A">
        <w:rPr>
          <w:rFonts w:cstheme="minorHAnsi"/>
        </w:rPr>
        <w:t>nałożenie dodatkowej warstwy papy stanowiącej całość, o powierzchni odpowiadającej zamontowanej instalacji fotowoltaicznej,</w:t>
      </w:r>
    </w:p>
    <w:p w14:paraId="6DEA7D5F" w14:textId="77777777" w:rsidR="00D94187" w:rsidRPr="00FC263A" w:rsidRDefault="009A487B">
      <w:pPr>
        <w:numPr>
          <w:ilvl w:val="0"/>
          <w:numId w:val="3"/>
        </w:numPr>
        <w:ind w:left="851" w:hanging="425"/>
        <w:contextualSpacing/>
        <w:jc w:val="both"/>
        <w:rPr>
          <w:rFonts w:cstheme="minorHAnsi"/>
        </w:rPr>
      </w:pPr>
      <w:r w:rsidRPr="00FC263A">
        <w:rPr>
          <w:rFonts w:cstheme="minorHAnsi"/>
        </w:rPr>
        <w:t>wykonanie uziemienia instalacji PV,</w:t>
      </w:r>
    </w:p>
    <w:p w14:paraId="57D8868B" w14:textId="77777777" w:rsidR="00D94187" w:rsidRPr="00FC263A" w:rsidRDefault="009A487B">
      <w:pPr>
        <w:numPr>
          <w:ilvl w:val="0"/>
          <w:numId w:val="3"/>
        </w:numPr>
        <w:ind w:left="851" w:hanging="425"/>
        <w:contextualSpacing/>
        <w:jc w:val="both"/>
        <w:rPr>
          <w:rFonts w:cstheme="minorHAnsi"/>
        </w:rPr>
      </w:pPr>
      <w:r w:rsidRPr="00FC263A">
        <w:rPr>
          <w:rFonts w:cstheme="minorHAnsi"/>
        </w:rPr>
        <w:t>wykonanie niezbędnych prac mających na celu dostosowanie instalacji odgromowej,</w:t>
      </w:r>
    </w:p>
    <w:p w14:paraId="28AE6507" w14:textId="77777777" w:rsidR="00D94187" w:rsidRPr="00FC263A" w:rsidRDefault="009A487B">
      <w:pPr>
        <w:numPr>
          <w:ilvl w:val="0"/>
          <w:numId w:val="3"/>
        </w:numPr>
        <w:ind w:left="851" w:hanging="425"/>
        <w:contextualSpacing/>
        <w:jc w:val="both"/>
        <w:rPr>
          <w:rFonts w:cstheme="minorHAnsi"/>
        </w:rPr>
      </w:pPr>
      <w:r w:rsidRPr="00FC263A">
        <w:rPr>
          <w:rFonts w:cstheme="minorHAnsi"/>
        </w:rPr>
        <w:t>zaprogramowanie i uruchomienie układu automatyki,</w:t>
      </w:r>
    </w:p>
    <w:p w14:paraId="456691EA" w14:textId="77777777" w:rsidR="00D94187" w:rsidRPr="00FC263A" w:rsidRDefault="009A487B">
      <w:pPr>
        <w:numPr>
          <w:ilvl w:val="0"/>
          <w:numId w:val="3"/>
        </w:numPr>
        <w:ind w:left="851" w:hanging="425"/>
        <w:contextualSpacing/>
        <w:jc w:val="both"/>
        <w:rPr>
          <w:rFonts w:cstheme="minorHAnsi"/>
        </w:rPr>
      </w:pPr>
      <w:r w:rsidRPr="00FC263A">
        <w:rPr>
          <w:rFonts w:cstheme="minorHAnsi"/>
        </w:rPr>
        <w:t>rozruch próbny instalacji,</w:t>
      </w:r>
    </w:p>
    <w:p w14:paraId="0AF885B8" w14:textId="77777777" w:rsidR="00D94187" w:rsidRPr="00FC263A" w:rsidRDefault="009A487B">
      <w:pPr>
        <w:numPr>
          <w:ilvl w:val="0"/>
          <w:numId w:val="3"/>
        </w:numPr>
        <w:ind w:left="851" w:hanging="425"/>
        <w:contextualSpacing/>
        <w:jc w:val="both"/>
        <w:rPr>
          <w:rFonts w:cstheme="minorHAnsi"/>
        </w:rPr>
      </w:pPr>
      <w:r w:rsidRPr="00FC263A">
        <w:rPr>
          <w:rFonts w:cstheme="minorHAnsi"/>
        </w:rPr>
        <w:t>wykonanie pomiarów kontrolnych, prób eksploatacyjnych, regulacja nastaw, sporządzenie i przekazanie protokołów z wykonanych prób Zamawiającemu,</w:t>
      </w:r>
    </w:p>
    <w:p w14:paraId="7B2E90CC" w14:textId="77777777" w:rsidR="00D94187" w:rsidRPr="00FC263A" w:rsidRDefault="009A487B">
      <w:pPr>
        <w:numPr>
          <w:ilvl w:val="0"/>
          <w:numId w:val="3"/>
        </w:numPr>
        <w:ind w:left="851" w:hanging="425"/>
        <w:contextualSpacing/>
        <w:jc w:val="both"/>
        <w:rPr>
          <w:rFonts w:cstheme="minorHAnsi"/>
        </w:rPr>
      </w:pPr>
      <w:r w:rsidRPr="00FC263A">
        <w:rPr>
          <w:rFonts w:cstheme="minorHAnsi"/>
        </w:rPr>
        <w:t>przygotowanie i dostarczenie dokumentacji technicznej pozytywna opinią biegłego rzeczoznawcy  p.poż, złożenie jej do Państwowej Straży Pożarnej, oraz uzyskanie jej akceptacji,</w:t>
      </w:r>
    </w:p>
    <w:p w14:paraId="4475E1B6" w14:textId="302AA235" w:rsidR="00D94187" w:rsidRPr="00FC263A" w:rsidRDefault="00FC263A">
      <w:pPr>
        <w:numPr>
          <w:ilvl w:val="0"/>
          <w:numId w:val="3"/>
        </w:numPr>
        <w:ind w:left="851" w:hanging="425"/>
        <w:contextualSpacing/>
        <w:jc w:val="both"/>
        <w:rPr>
          <w:rFonts w:cstheme="minorHAnsi"/>
        </w:rPr>
      </w:pPr>
      <w:r w:rsidRPr="00FC263A">
        <w:rPr>
          <w:rFonts w:cstheme="minorHAnsi"/>
        </w:rPr>
        <w:t xml:space="preserve">w cenie oferty </w:t>
      </w:r>
      <w:r w:rsidR="009A487B" w:rsidRPr="00FC263A">
        <w:rPr>
          <w:rFonts w:cstheme="minorHAnsi"/>
        </w:rPr>
        <w:t>dostarczenie aplikacji IT na komputery i telefony pozwalającej śledzić poprawność działania instalacji</w:t>
      </w:r>
      <w:r>
        <w:rPr>
          <w:rFonts w:cstheme="minorHAnsi"/>
        </w:rPr>
        <w:t>.</w:t>
      </w:r>
    </w:p>
    <w:p w14:paraId="7960E9D7" w14:textId="6E9D8F83" w:rsidR="00D94187" w:rsidRPr="00FC263A" w:rsidRDefault="009A487B">
      <w:pPr>
        <w:spacing w:after="120" w:line="240" w:lineRule="auto"/>
        <w:jc w:val="both"/>
        <w:rPr>
          <w:rFonts w:cstheme="minorHAnsi"/>
        </w:rPr>
      </w:pPr>
      <w:r w:rsidRPr="00FC263A">
        <w:rPr>
          <w:rFonts w:cstheme="minorHAnsi"/>
        </w:rPr>
        <w:t>Wykonawca w swoim zakresie ujmie także te prace i elementy instalacji, które nie zostały wyszczególnione, lecz są niezbędne dla poprawnego funkcjonowania i stabilnego działania instalacji fotowoltaicznych, zgodnie z założonym przez Zamawiającego celem</w:t>
      </w:r>
      <w:r w:rsidR="00FC263A">
        <w:rPr>
          <w:rFonts w:cstheme="minorHAnsi"/>
        </w:rPr>
        <w:t>.</w:t>
      </w:r>
    </w:p>
    <w:p w14:paraId="15F7DE6F" w14:textId="77777777" w:rsidR="00D94187" w:rsidRPr="00FC263A" w:rsidRDefault="009A487B">
      <w:pPr>
        <w:spacing w:after="120" w:line="240" w:lineRule="auto"/>
        <w:jc w:val="both"/>
        <w:rPr>
          <w:rFonts w:cstheme="minorHAnsi"/>
        </w:rPr>
      </w:pPr>
      <w:r w:rsidRPr="00FC263A">
        <w:rPr>
          <w:rFonts w:cstheme="minorHAnsi"/>
        </w:rPr>
        <w:t>Układ automatyki/sterowania dla instalacji fotowoltaicznej powinien zapewniać: kontrolowanie procesu przekazywania energii, pomiar energii zgromadzonej w danym dniu oraz sumarycznej od momentu uruchomienia instalacji PV, archiwizacje danych pomiarowych.</w:t>
      </w:r>
    </w:p>
    <w:p w14:paraId="611D0F94" w14:textId="77777777" w:rsidR="00D94187" w:rsidRPr="00FC263A" w:rsidRDefault="009A487B">
      <w:pPr>
        <w:spacing w:after="0"/>
        <w:jc w:val="both"/>
        <w:rPr>
          <w:rFonts w:cstheme="minorHAnsi"/>
        </w:rPr>
      </w:pPr>
      <w:r w:rsidRPr="00FC263A">
        <w:rPr>
          <w:rFonts w:cstheme="minorHAnsi"/>
        </w:rPr>
        <w:t>Przed zgłoszeniem instalacji PV do OSD, Wykonawca przy udziale Inspektora Nadzoru Inwestorskiego:</w:t>
      </w:r>
    </w:p>
    <w:p w14:paraId="32EB9701" w14:textId="77777777" w:rsidR="00D94187" w:rsidRPr="00FC263A" w:rsidRDefault="009A487B">
      <w:pPr>
        <w:numPr>
          <w:ilvl w:val="0"/>
          <w:numId w:val="4"/>
        </w:numPr>
        <w:ind w:left="851" w:hanging="425"/>
        <w:contextualSpacing/>
        <w:jc w:val="both"/>
        <w:rPr>
          <w:rFonts w:cstheme="minorHAnsi"/>
        </w:rPr>
      </w:pPr>
      <w:r w:rsidRPr="00FC263A">
        <w:rPr>
          <w:rFonts w:cstheme="minorHAnsi"/>
        </w:rPr>
        <w:t>przeprowadzi próby i niezbędne pomiary całej instalacji,</w:t>
      </w:r>
    </w:p>
    <w:p w14:paraId="130CCCF8" w14:textId="77777777" w:rsidR="00D94187" w:rsidRPr="00FC263A" w:rsidRDefault="009A487B">
      <w:pPr>
        <w:numPr>
          <w:ilvl w:val="0"/>
          <w:numId w:val="4"/>
        </w:numPr>
        <w:ind w:left="851" w:hanging="425"/>
        <w:contextualSpacing/>
        <w:jc w:val="both"/>
        <w:rPr>
          <w:rFonts w:cstheme="minorHAnsi"/>
        </w:rPr>
      </w:pPr>
      <w:r w:rsidRPr="00FC263A">
        <w:rPr>
          <w:rFonts w:cstheme="minorHAnsi"/>
        </w:rPr>
        <w:t>zaprogramuje i uruchomi układ sterujący,</w:t>
      </w:r>
    </w:p>
    <w:p w14:paraId="6D200422" w14:textId="77777777" w:rsidR="00D94187" w:rsidRPr="00FC263A" w:rsidRDefault="009A487B">
      <w:pPr>
        <w:numPr>
          <w:ilvl w:val="0"/>
          <w:numId w:val="4"/>
        </w:numPr>
        <w:ind w:left="851" w:hanging="425"/>
        <w:contextualSpacing/>
        <w:jc w:val="both"/>
        <w:rPr>
          <w:rFonts w:cstheme="minorHAnsi"/>
        </w:rPr>
      </w:pPr>
      <w:r w:rsidRPr="00FC263A">
        <w:rPr>
          <w:rFonts w:cstheme="minorHAnsi"/>
        </w:rPr>
        <w:t>przeprowadzi rozruch próbny instalacji fotowoltaicznej.</w:t>
      </w:r>
    </w:p>
    <w:p w14:paraId="004B757B" w14:textId="77777777" w:rsidR="00D94187" w:rsidRPr="00FC263A" w:rsidRDefault="009A487B">
      <w:pPr>
        <w:spacing w:after="120" w:line="240" w:lineRule="auto"/>
        <w:jc w:val="both"/>
        <w:rPr>
          <w:rFonts w:cstheme="minorHAnsi"/>
        </w:rPr>
      </w:pPr>
      <w:r w:rsidRPr="00FC263A">
        <w:rPr>
          <w:rFonts w:cstheme="minorHAnsi"/>
        </w:rPr>
        <w:t>Po zgłoszeniu wykonanej instalacji do OSD oraz wymianie przez OSD licznika na licznik dwukierunkowy, Wykonawca uruchomi instalację PV oraz przeprowadzi szkolenia z obsługi systemu dla osób skierowanych przez Zamawiającego.</w:t>
      </w:r>
    </w:p>
    <w:p w14:paraId="69E69D2A" w14:textId="77777777" w:rsidR="00D94187" w:rsidRPr="00FC263A" w:rsidRDefault="009A487B">
      <w:pPr>
        <w:spacing w:after="120" w:line="240" w:lineRule="auto"/>
        <w:jc w:val="both"/>
        <w:rPr>
          <w:rFonts w:cstheme="minorHAnsi"/>
        </w:rPr>
      </w:pPr>
      <w:r w:rsidRPr="00FC263A">
        <w:rPr>
          <w:rFonts w:cstheme="minorHAnsi"/>
        </w:rPr>
        <w:t>Wymagania dla instalacji odgromowej i przeciwprzepięciowej i przeciwporażeniowej:</w:t>
      </w:r>
    </w:p>
    <w:p w14:paraId="4F2837EA" w14:textId="77777777" w:rsidR="00D94187" w:rsidRPr="00FC263A" w:rsidRDefault="009A487B">
      <w:pPr>
        <w:jc w:val="both"/>
        <w:rPr>
          <w:rFonts w:cstheme="minorHAnsi"/>
          <w:u w:val="single"/>
        </w:rPr>
      </w:pPr>
      <w:r w:rsidRPr="00FC263A">
        <w:rPr>
          <w:rFonts w:cstheme="minorHAnsi"/>
          <w:u w:val="single"/>
        </w:rPr>
        <w:t>Ochrona przeciwporażeniowa.</w:t>
      </w:r>
    </w:p>
    <w:p w14:paraId="54F5E433" w14:textId="77777777" w:rsidR="00D94187" w:rsidRPr="00FC263A" w:rsidRDefault="009A487B">
      <w:pPr>
        <w:ind w:left="426" w:hanging="425"/>
        <w:contextualSpacing/>
        <w:jc w:val="both"/>
        <w:rPr>
          <w:rFonts w:cstheme="minorHAnsi"/>
        </w:rPr>
      </w:pPr>
      <w:r w:rsidRPr="00FC263A">
        <w:rPr>
          <w:rFonts w:cstheme="minorHAnsi"/>
        </w:rPr>
        <w:t>W ramach ochrony przeciwporażeniowej należy zastosować następujące środki bezpieczeństwa:</w:t>
      </w:r>
    </w:p>
    <w:p w14:paraId="78404A59" w14:textId="77777777" w:rsidR="00D94187" w:rsidRPr="00FC263A" w:rsidRDefault="009A487B">
      <w:pPr>
        <w:numPr>
          <w:ilvl w:val="1"/>
          <w:numId w:val="5"/>
        </w:numPr>
        <w:ind w:left="993" w:hanging="426"/>
        <w:contextualSpacing/>
        <w:jc w:val="both"/>
        <w:rPr>
          <w:rFonts w:cstheme="minorHAnsi"/>
        </w:rPr>
      </w:pPr>
      <w:r w:rsidRPr="00FC263A">
        <w:rPr>
          <w:rFonts w:cstheme="minorHAnsi"/>
        </w:rPr>
        <w:t>stosowanie urządzeń w II klasie ochronności,</w:t>
      </w:r>
    </w:p>
    <w:p w14:paraId="55711FA8" w14:textId="77777777" w:rsidR="00D94187" w:rsidRPr="00FC263A" w:rsidRDefault="009A487B">
      <w:pPr>
        <w:numPr>
          <w:ilvl w:val="1"/>
          <w:numId w:val="5"/>
        </w:numPr>
        <w:ind w:left="993" w:hanging="426"/>
        <w:contextualSpacing/>
        <w:jc w:val="both"/>
        <w:rPr>
          <w:rFonts w:cstheme="minorHAnsi"/>
        </w:rPr>
      </w:pPr>
      <w:r w:rsidRPr="00FC263A">
        <w:rPr>
          <w:rFonts w:cstheme="minorHAnsi"/>
        </w:rPr>
        <w:t>w przypadku zastosowania urządzenia w I klasie ochronności należy umieścić je w dodatkowej zamykanej obudowie,</w:t>
      </w:r>
    </w:p>
    <w:p w14:paraId="6FD85C73" w14:textId="77777777" w:rsidR="00D94187" w:rsidRPr="00FC263A" w:rsidRDefault="009A487B">
      <w:pPr>
        <w:numPr>
          <w:ilvl w:val="1"/>
          <w:numId w:val="5"/>
        </w:numPr>
        <w:ind w:left="993" w:hanging="426"/>
        <w:contextualSpacing/>
        <w:jc w:val="both"/>
        <w:rPr>
          <w:rFonts w:cstheme="minorHAnsi"/>
        </w:rPr>
      </w:pPr>
      <w:r w:rsidRPr="00FC263A">
        <w:rPr>
          <w:rFonts w:cstheme="minorHAnsi"/>
        </w:rPr>
        <w:t>uniemożliwienie dostępu na dach i zabezpieczenie urządzeń przed osobami postronnymi,</w:t>
      </w:r>
    </w:p>
    <w:p w14:paraId="5A5FA19C" w14:textId="77777777" w:rsidR="00D94187" w:rsidRPr="00FC263A" w:rsidRDefault="009A487B">
      <w:pPr>
        <w:numPr>
          <w:ilvl w:val="1"/>
          <w:numId w:val="5"/>
        </w:numPr>
        <w:ind w:left="993" w:hanging="426"/>
        <w:contextualSpacing/>
        <w:jc w:val="both"/>
        <w:rPr>
          <w:rFonts w:cstheme="minorHAnsi"/>
        </w:rPr>
      </w:pPr>
      <w:r w:rsidRPr="00FC263A">
        <w:rPr>
          <w:rFonts w:cstheme="minorHAnsi"/>
        </w:rPr>
        <w:t>w obrębie budynku prowadzenie przewodów w osłonach,</w:t>
      </w:r>
    </w:p>
    <w:p w14:paraId="21C7C500" w14:textId="77777777" w:rsidR="00D94187" w:rsidRPr="00FC263A" w:rsidRDefault="009A487B">
      <w:pPr>
        <w:numPr>
          <w:ilvl w:val="1"/>
          <w:numId w:val="5"/>
        </w:numPr>
        <w:ind w:left="993" w:hanging="426"/>
        <w:contextualSpacing/>
        <w:jc w:val="both"/>
        <w:rPr>
          <w:rFonts w:cstheme="minorHAnsi"/>
        </w:rPr>
      </w:pPr>
      <w:r w:rsidRPr="00FC263A">
        <w:rPr>
          <w:rFonts w:cstheme="minorHAnsi"/>
        </w:rPr>
        <w:t>stosowanie kabli i przewodów DC z podwójną/wzmocnioną izolacją, plus zabezpieczenia przeciw zwierzętom,</w:t>
      </w:r>
    </w:p>
    <w:p w14:paraId="07DD56FD" w14:textId="77777777" w:rsidR="00D94187" w:rsidRPr="00FC263A" w:rsidRDefault="009A487B">
      <w:pPr>
        <w:numPr>
          <w:ilvl w:val="1"/>
          <w:numId w:val="5"/>
        </w:numPr>
        <w:ind w:left="993" w:hanging="426"/>
        <w:contextualSpacing/>
        <w:jc w:val="both"/>
        <w:rPr>
          <w:rFonts w:cstheme="minorHAnsi"/>
        </w:rPr>
      </w:pPr>
      <w:r w:rsidRPr="00FC263A">
        <w:rPr>
          <w:rFonts w:cstheme="minorHAnsi"/>
        </w:rPr>
        <w:lastRenderedPageBreak/>
        <w:t>stosowanie się do zaleceń producentów w zakresie ochrony przeciwporażeniowej (np. wykonywania połączeń uziemiających),</w:t>
      </w:r>
    </w:p>
    <w:p w14:paraId="515ECE0C" w14:textId="77777777" w:rsidR="00D94187" w:rsidRPr="00FC263A" w:rsidRDefault="009A487B">
      <w:pPr>
        <w:numPr>
          <w:ilvl w:val="1"/>
          <w:numId w:val="6"/>
        </w:numPr>
        <w:ind w:left="993" w:hanging="426"/>
        <w:contextualSpacing/>
        <w:jc w:val="both"/>
        <w:rPr>
          <w:rFonts w:cstheme="minorHAnsi"/>
        </w:rPr>
      </w:pPr>
      <w:r w:rsidRPr="00FC263A">
        <w:rPr>
          <w:rFonts w:cstheme="minorHAnsi"/>
        </w:rPr>
        <w:t xml:space="preserve">wykonanie </w:t>
      </w:r>
      <w:proofErr w:type="spellStart"/>
      <w:r w:rsidRPr="00FC263A">
        <w:rPr>
          <w:rFonts w:cstheme="minorHAnsi"/>
        </w:rPr>
        <w:t>mikroinstalacji</w:t>
      </w:r>
      <w:proofErr w:type="spellEnd"/>
      <w:r w:rsidRPr="00FC263A">
        <w:rPr>
          <w:rFonts w:cstheme="minorHAnsi"/>
        </w:rPr>
        <w:t xml:space="preserve"> PV w sposób umożliwiający jej odłączenie za pomocą przycisku PWP, 2 szt. Z poprawnym oznakowaniem. </w:t>
      </w:r>
    </w:p>
    <w:p w14:paraId="3D138DA8" w14:textId="77777777" w:rsidR="00D94187" w:rsidRPr="00FC263A" w:rsidRDefault="009A487B">
      <w:pPr>
        <w:ind w:left="426" w:hanging="425"/>
        <w:contextualSpacing/>
        <w:jc w:val="both"/>
        <w:rPr>
          <w:rFonts w:cstheme="minorHAnsi"/>
        </w:rPr>
      </w:pPr>
      <w:r w:rsidRPr="00FC263A">
        <w:rPr>
          <w:rFonts w:cstheme="minorHAnsi"/>
        </w:rPr>
        <w:t>Instalację przeciwporażeniową należy wykonać zgodnie z normą PN-HD 60364-4-41:</w:t>
      </w:r>
    </w:p>
    <w:p w14:paraId="322E4411" w14:textId="77777777" w:rsidR="00D94187" w:rsidRPr="00FC263A" w:rsidRDefault="009A487B">
      <w:pPr>
        <w:contextualSpacing/>
        <w:jc w:val="both"/>
        <w:rPr>
          <w:rFonts w:cstheme="minorHAnsi"/>
        </w:rPr>
      </w:pPr>
      <w:r w:rsidRPr="00FC263A">
        <w:rPr>
          <w:rFonts w:cstheme="minorHAnsi"/>
        </w:rPr>
        <w:t>2017-09 (lub równoważną) należy zastosować następujące środki ochrony: Ochrona podstawowa – izolacje przewodów, obudowy ochronne urządzeń i aparatów elektrycznych chroniące przed dotykiem bezpośrednim.</w:t>
      </w:r>
    </w:p>
    <w:p w14:paraId="33F61871" w14:textId="77777777" w:rsidR="00D94187" w:rsidRPr="00FC263A" w:rsidRDefault="009A487B">
      <w:pPr>
        <w:contextualSpacing/>
        <w:jc w:val="both"/>
        <w:rPr>
          <w:rFonts w:cstheme="minorHAnsi"/>
        </w:rPr>
      </w:pPr>
      <w:r w:rsidRPr="00FC263A">
        <w:rPr>
          <w:rFonts w:cstheme="minorHAnsi"/>
        </w:rPr>
        <w:t>Zgodnie z normą PN-HD 60364-7-712: 2016-05 (lub równoważną) należy zastosować następujące środki ochrony:</w:t>
      </w:r>
    </w:p>
    <w:p w14:paraId="03147FD8" w14:textId="77777777" w:rsidR="00D94187" w:rsidRPr="00FC263A" w:rsidRDefault="009A487B">
      <w:pPr>
        <w:numPr>
          <w:ilvl w:val="0"/>
          <w:numId w:val="7"/>
        </w:numPr>
        <w:ind w:left="993" w:hanging="426"/>
        <w:contextualSpacing/>
        <w:jc w:val="both"/>
        <w:rPr>
          <w:rFonts w:cstheme="minorHAnsi"/>
        </w:rPr>
      </w:pPr>
      <w:r w:rsidRPr="00FC263A">
        <w:rPr>
          <w:rFonts w:cstheme="minorHAnsi"/>
        </w:rPr>
        <w:t>Ochrona podstawowa – obudowy w II klasie ochrony dla rozdzielnic DC</w:t>
      </w:r>
    </w:p>
    <w:p w14:paraId="44793E50" w14:textId="77777777" w:rsidR="00D94187" w:rsidRPr="00FC263A" w:rsidRDefault="009A487B">
      <w:pPr>
        <w:numPr>
          <w:ilvl w:val="0"/>
          <w:numId w:val="7"/>
        </w:numPr>
        <w:ind w:left="993" w:hanging="426"/>
        <w:contextualSpacing/>
        <w:jc w:val="both"/>
        <w:rPr>
          <w:rFonts w:cstheme="minorHAnsi"/>
        </w:rPr>
      </w:pPr>
      <w:r w:rsidRPr="00FC263A">
        <w:rPr>
          <w:rFonts w:cstheme="minorHAnsi"/>
        </w:rPr>
        <w:t>Ochrona dodatkowa – szybkie wyłączenie w sieci TN-S za pomocą wyłączników nadprądowych po stronie AC</w:t>
      </w:r>
    </w:p>
    <w:p w14:paraId="7A58496B" w14:textId="77777777" w:rsidR="00D94187" w:rsidRPr="00FC263A" w:rsidRDefault="009A487B">
      <w:pPr>
        <w:numPr>
          <w:ilvl w:val="0"/>
          <w:numId w:val="7"/>
        </w:numPr>
        <w:ind w:left="993" w:hanging="426"/>
        <w:contextualSpacing/>
        <w:jc w:val="both"/>
        <w:rPr>
          <w:rFonts w:cstheme="minorHAnsi"/>
        </w:rPr>
      </w:pPr>
      <w:r w:rsidRPr="00FC263A">
        <w:rPr>
          <w:rFonts w:cstheme="minorHAnsi"/>
        </w:rPr>
        <w:t>Ochrona przed dotykiem bezpośrednim poprzez zastosowanie wyłączników różnicowo-prądowych po stronie AC</w:t>
      </w:r>
    </w:p>
    <w:p w14:paraId="28059438" w14:textId="77777777" w:rsidR="00D94187" w:rsidRPr="00FC263A" w:rsidRDefault="009A487B">
      <w:pPr>
        <w:contextualSpacing/>
        <w:jc w:val="both"/>
        <w:rPr>
          <w:rFonts w:cstheme="minorHAnsi"/>
        </w:rPr>
      </w:pPr>
      <w:r w:rsidRPr="00FC263A">
        <w:rPr>
          <w:rFonts w:cstheme="minorHAnsi"/>
        </w:rPr>
        <w:t xml:space="preserve">Konstrukcję wsporczą instalacji oraz ramy modułów PV należy uziemić przewodem </w:t>
      </w:r>
      <w:proofErr w:type="spellStart"/>
      <w:r w:rsidRPr="00FC263A">
        <w:rPr>
          <w:rFonts w:cstheme="minorHAnsi"/>
        </w:rPr>
        <w:t>LGy</w:t>
      </w:r>
      <w:proofErr w:type="spellEnd"/>
      <w:r w:rsidRPr="00FC263A">
        <w:rPr>
          <w:rFonts w:cstheme="minorHAnsi"/>
        </w:rPr>
        <w:t xml:space="preserve"> o przekroju minimum 16 mm2. Należy również uziemić zacisk PE wewnątrz rozdzielnic po stronie DC oraz inwerter.</w:t>
      </w:r>
    </w:p>
    <w:p w14:paraId="7913F60B" w14:textId="77777777" w:rsidR="00D94187" w:rsidRPr="00FC263A" w:rsidRDefault="00D94187">
      <w:pPr>
        <w:contextualSpacing/>
        <w:jc w:val="both"/>
        <w:rPr>
          <w:rFonts w:cstheme="minorHAnsi"/>
        </w:rPr>
      </w:pPr>
    </w:p>
    <w:p w14:paraId="0DD2EBB3" w14:textId="77777777" w:rsidR="00D94187" w:rsidRPr="00FC263A" w:rsidRDefault="009A487B">
      <w:pPr>
        <w:jc w:val="both"/>
        <w:rPr>
          <w:rFonts w:cstheme="minorHAnsi"/>
          <w:u w:val="single"/>
        </w:rPr>
      </w:pPr>
      <w:r w:rsidRPr="00FC263A">
        <w:rPr>
          <w:rFonts w:cstheme="minorHAnsi"/>
          <w:u w:val="single"/>
        </w:rPr>
        <w:t>Ochrona przeciwprzepięciowa i odgromowa</w:t>
      </w:r>
    </w:p>
    <w:p w14:paraId="6FA8F47C" w14:textId="77777777" w:rsidR="00D94187" w:rsidRPr="00FC263A" w:rsidRDefault="009A487B">
      <w:pPr>
        <w:contextualSpacing/>
        <w:jc w:val="both"/>
        <w:rPr>
          <w:rFonts w:cstheme="minorHAnsi"/>
        </w:rPr>
      </w:pPr>
      <w:r w:rsidRPr="00FC263A">
        <w:rPr>
          <w:rFonts w:cstheme="minorHAnsi"/>
        </w:rPr>
        <w:t xml:space="preserve">Dla planowanej instalacji fotowoltaicznej należy przewidzieć ochronę odgromową. Część instalacji odgromowej przeznaczonej do instalacji PV należy przyłączyć do istniejącej instalacji piorunochronnej budynku, przy czym wszelkie połączenia wykonać jako spawane lub śrubowe, a miejsca spawów chronić antykorozyjnie poprzez pomalowanie farbą antykorozyjną. Nowe odcinki zwodów poziomych wykonać z drutu Fe/Zn o przekroju minimum Ø8mm. Jako zwody pionowe należy stosować wolnostojące maszty odgromowe w wys. Umożliwiającej objęcie strefami ochronnym wszystkich paneli na dachu. Maszty połączyć z siatką zwodów poziomych. W celu wyrównania potencjałów należy zapewnić galwaniczną ciągłość połączeń wszystkich metalowych elementów, a przede wszystkim: połączenie konstrukcji między sobą, połączenie konstrukcji z siatką zwodów, połączenie siatki zwodów ze zwodami pionowymi. Przy braku możliwości zachowania bezpiecznych ostępów izolacyjnych między uziemioną konstrukcją wsporczą, a najbliższym zwodem poziomym, ramy paneli należy łączyć z konstrukcjami nośnymi przewodami </w:t>
      </w:r>
      <w:proofErr w:type="spellStart"/>
      <w:r w:rsidRPr="00FC263A">
        <w:rPr>
          <w:rFonts w:cstheme="minorHAnsi"/>
        </w:rPr>
        <w:t>LGy</w:t>
      </w:r>
      <w:proofErr w:type="spellEnd"/>
      <w:r w:rsidRPr="00FC263A">
        <w:rPr>
          <w:rFonts w:cstheme="minorHAnsi"/>
        </w:rPr>
        <w:t xml:space="preserve"> o przekroju min. 16mm2 (lub równoważnym) oraz należy zapewnić metaliczne połączenia konstrukcji wsporczych z siatką zwodów. W celu zapewnienia ochrony przeciwprzepięciowej ograniczniki należy zainstalować w następujących miejscach:</w:t>
      </w:r>
    </w:p>
    <w:p w14:paraId="3FB83DAC" w14:textId="77777777" w:rsidR="00D94187" w:rsidRPr="00FC263A" w:rsidRDefault="009A487B">
      <w:pPr>
        <w:numPr>
          <w:ilvl w:val="0"/>
          <w:numId w:val="7"/>
        </w:numPr>
        <w:ind w:left="993" w:hanging="426"/>
        <w:contextualSpacing/>
        <w:jc w:val="both"/>
        <w:rPr>
          <w:rFonts w:cstheme="minorHAnsi"/>
        </w:rPr>
      </w:pPr>
      <w:r w:rsidRPr="00FC263A">
        <w:rPr>
          <w:rFonts w:cstheme="minorHAnsi"/>
        </w:rPr>
        <w:t xml:space="preserve">w miejscu przyłączenia </w:t>
      </w:r>
      <w:proofErr w:type="spellStart"/>
      <w:r w:rsidRPr="00FC263A">
        <w:rPr>
          <w:rFonts w:cstheme="minorHAnsi"/>
        </w:rPr>
        <w:t>mikroinstalacji</w:t>
      </w:r>
      <w:proofErr w:type="spellEnd"/>
      <w:r w:rsidRPr="00FC263A">
        <w:rPr>
          <w:rFonts w:cstheme="minorHAnsi"/>
        </w:rPr>
        <w:t xml:space="preserve"> PV do instalacji wewnętrznej (w rozdzielnicy głównej),</w:t>
      </w:r>
    </w:p>
    <w:p w14:paraId="1A22B672" w14:textId="77777777" w:rsidR="00D94187" w:rsidRPr="00FC263A" w:rsidRDefault="009A487B">
      <w:pPr>
        <w:numPr>
          <w:ilvl w:val="0"/>
          <w:numId w:val="7"/>
        </w:numPr>
        <w:ind w:left="993" w:hanging="426"/>
        <w:contextualSpacing/>
        <w:jc w:val="both"/>
        <w:rPr>
          <w:rFonts w:cstheme="minorHAnsi"/>
        </w:rPr>
      </w:pPr>
      <w:r w:rsidRPr="00FC263A">
        <w:rPr>
          <w:rFonts w:cstheme="minorHAnsi"/>
        </w:rPr>
        <w:t>przy inwerterze po stronie DC,</w:t>
      </w:r>
    </w:p>
    <w:p w14:paraId="40BDE76A" w14:textId="77777777" w:rsidR="00D94187" w:rsidRPr="00FC263A" w:rsidRDefault="009A487B">
      <w:pPr>
        <w:numPr>
          <w:ilvl w:val="0"/>
          <w:numId w:val="7"/>
        </w:numPr>
        <w:ind w:left="993" w:hanging="426"/>
        <w:contextualSpacing/>
        <w:jc w:val="both"/>
        <w:rPr>
          <w:rFonts w:cstheme="minorHAnsi"/>
        </w:rPr>
      </w:pPr>
      <w:r w:rsidRPr="00FC263A">
        <w:rPr>
          <w:rFonts w:cstheme="minorHAnsi"/>
        </w:rPr>
        <w:t>przy inwerterze po stronie AC,</w:t>
      </w:r>
    </w:p>
    <w:p w14:paraId="5063A998" w14:textId="77777777" w:rsidR="00D94187" w:rsidRPr="00FC263A" w:rsidRDefault="009A487B">
      <w:pPr>
        <w:numPr>
          <w:ilvl w:val="0"/>
          <w:numId w:val="7"/>
        </w:numPr>
        <w:ind w:left="993" w:hanging="426"/>
        <w:contextualSpacing/>
        <w:jc w:val="both"/>
        <w:rPr>
          <w:rFonts w:cstheme="minorHAnsi"/>
        </w:rPr>
      </w:pPr>
      <w:r w:rsidRPr="00FC263A">
        <w:rPr>
          <w:rFonts w:cstheme="minorHAnsi"/>
        </w:rPr>
        <w:t>przy panelach.</w:t>
      </w:r>
    </w:p>
    <w:p w14:paraId="1A6E0F20" w14:textId="77777777" w:rsidR="00D94187" w:rsidRPr="00FC263A" w:rsidRDefault="009A487B">
      <w:pPr>
        <w:contextualSpacing/>
        <w:jc w:val="both"/>
        <w:rPr>
          <w:rFonts w:cstheme="minorHAnsi"/>
        </w:rPr>
      </w:pPr>
      <w:r w:rsidRPr="00FC263A">
        <w:rPr>
          <w:rFonts w:cstheme="minorHAnsi"/>
        </w:rPr>
        <w:t>Konieczność zastosowania i typ zastosowanego ochronnika należy rozpatrywać w zależności od rodzaju (braku) zewnętrznej ochrony odgromowej oraz w zależności od odległości pomiędzy poszczególnymi elementami systemu fotowoltaicznego. Instalacje przeciwprzepięciową i odgromową należy wykonać zgodnie z (lub normami równoważnymi): PN-EN 61643-11:2013-06 Urządzenia do ograniczania przepięć w sieciach rozdzielczych niskiego napięcia.</w:t>
      </w:r>
    </w:p>
    <w:p w14:paraId="0B470F7A" w14:textId="77777777" w:rsidR="00D94187" w:rsidRPr="00FC263A" w:rsidRDefault="009A487B">
      <w:pPr>
        <w:spacing w:after="0" w:line="240" w:lineRule="auto"/>
        <w:jc w:val="both"/>
        <w:rPr>
          <w:rFonts w:cstheme="minorHAnsi"/>
        </w:rPr>
      </w:pPr>
      <w:r w:rsidRPr="00FC263A">
        <w:rPr>
          <w:rFonts w:cstheme="minorHAnsi"/>
        </w:rPr>
        <w:t>Wymagania techniczne i metody badań:</w:t>
      </w:r>
    </w:p>
    <w:p w14:paraId="40296E6C" w14:textId="77777777" w:rsidR="00D94187" w:rsidRPr="00FC263A" w:rsidRDefault="009A487B">
      <w:pPr>
        <w:numPr>
          <w:ilvl w:val="0"/>
          <w:numId w:val="7"/>
        </w:numPr>
        <w:ind w:left="993" w:hanging="426"/>
        <w:contextualSpacing/>
        <w:jc w:val="both"/>
        <w:rPr>
          <w:rFonts w:cstheme="minorHAnsi"/>
        </w:rPr>
      </w:pPr>
      <w:r w:rsidRPr="00FC263A">
        <w:rPr>
          <w:rFonts w:cstheme="minorHAnsi"/>
        </w:rPr>
        <w:t xml:space="preserve">PN-HD 60364-4-442:2012 Instalacje elektryczne w obiektach budowlanych. Ochrona dla zapewnienia bezpieczeństwa. Ochrona przed przepięciami. Ochrona instalacji niskiego napięcia przed przejściowymi przepięciami i uszkodzeniami przy </w:t>
      </w:r>
      <w:proofErr w:type="spellStart"/>
      <w:r w:rsidRPr="00FC263A">
        <w:rPr>
          <w:rFonts w:cstheme="minorHAnsi"/>
        </w:rPr>
        <w:t>doziemieniach</w:t>
      </w:r>
      <w:proofErr w:type="spellEnd"/>
      <w:r w:rsidRPr="00FC263A">
        <w:rPr>
          <w:rFonts w:cstheme="minorHAnsi"/>
        </w:rPr>
        <w:t xml:space="preserve"> w sieciach wysokiego napięcia.</w:t>
      </w:r>
    </w:p>
    <w:p w14:paraId="107DFA6E" w14:textId="77777777" w:rsidR="00D94187" w:rsidRPr="00FC263A" w:rsidRDefault="009A487B">
      <w:pPr>
        <w:numPr>
          <w:ilvl w:val="0"/>
          <w:numId w:val="7"/>
        </w:numPr>
        <w:ind w:left="993" w:hanging="426"/>
        <w:contextualSpacing/>
        <w:jc w:val="both"/>
        <w:rPr>
          <w:rFonts w:cstheme="minorHAnsi"/>
        </w:rPr>
      </w:pPr>
      <w:r w:rsidRPr="00FC263A">
        <w:rPr>
          <w:rFonts w:cstheme="minorHAnsi"/>
        </w:rPr>
        <w:t>PN-HD 60364-4-443:2016-03Instalacje elektryczne w obiektach budowlanych Ochrona dla zapewnienia bezpieczeństwa. Ochrona przed przepięciami. Ochrona przed przepięciami atmosferycznymi i łączeniowymi</w:t>
      </w:r>
    </w:p>
    <w:p w14:paraId="4BFD1598" w14:textId="77777777" w:rsidR="00D94187" w:rsidRPr="00FC263A" w:rsidRDefault="009A487B">
      <w:pPr>
        <w:numPr>
          <w:ilvl w:val="0"/>
          <w:numId w:val="7"/>
        </w:numPr>
        <w:ind w:left="993" w:hanging="426"/>
        <w:contextualSpacing/>
        <w:jc w:val="both"/>
        <w:rPr>
          <w:rFonts w:cstheme="minorHAnsi"/>
        </w:rPr>
      </w:pPr>
      <w:r w:rsidRPr="00FC263A">
        <w:rPr>
          <w:rFonts w:cstheme="minorHAnsi"/>
        </w:rPr>
        <w:lastRenderedPageBreak/>
        <w:t>PN-HD 60364-7-712:2016-05 Instalacje elektryczne w obiektach budowlanych. Część 7-712: Wytyczne dotyczące specjalnych instalacji lub lokalizacji. Fotowoltaiczne (PV) układy zasilania.</w:t>
      </w:r>
    </w:p>
    <w:p w14:paraId="47323492" w14:textId="77777777" w:rsidR="00D94187" w:rsidRPr="00FC263A" w:rsidRDefault="009A487B">
      <w:pPr>
        <w:numPr>
          <w:ilvl w:val="0"/>
          <w:numId w:val="7"/>
        </w:numPr>
        <w:ind w:left="992" w:hanging="425"/>
        <w:jc w:val="both"/>
        <w:rPr>
          <w:rFonts w:cstheme="minorHAnsi"/>
        </w:rPr>
      </w:pPr>
      <w:r w:rsidRPr="00FC263A">
        <w:rPr>
          <w:rFonts w:cstheme="minorHAnsi"/>
        </w:rPr>
        <w:t>PN-EN 62305 Ochrona odgromowa.</w:t>
      </w:r>
    </w:p>
    <w:p w14:paraId="6C17A266" w14:textId="77777777" w:rsidR="00D94187" w:rsidRPr="00FC263A" w:rsidRDefault="009A487B">
      <w:pPr>
        <w:contextualSpacing/>
        <w:jc w:val="both"/>
        <w:rPr>
          <w:rFonts w:cstheme="minorHAnsi"/>
        </w:rPr>
      </w:pPr>
      <w:r w:rsidRPr="00FC263A">
        <w:rPr>
          <w:rFonts w:cstheme="minorHAnsi"/>
        </w:rPr>
        <w:t>W celu uniknięcia uszkodzenia, lub też całkowitego zniszczenia instalacji fotowoltaicznej od skutków pośredniego rażenia piorunem instalacja fotowoltaiczna musi być zabezpieczona od strony DC ochronnikami przepięciowymi klasy C (typ II) oraz rozłącznikami nadprądowymi. Jeśli instalacja domowa nie posiada zabezpieczeń przeciwprzepięciowych należy ją zabezpieczyć od nieprzewidzianych przepięć w sieci energetycznej (od strony AC) ochronnikami przepięciowymi dedykowanymi do pracy z energią elektryczną o parametrach sieciowych klasy C. Jeśli w budynku jest zamontowana instalacja odgromowa nie można zachować minimalnych odległości separacyjnych pomiędzy konstrukcją a instalacją odgromową należy zastosować ochronę przepięciową strony DC i AC typ I+II.</w:t>
      </w:r>
    </w:p>
    <w:p w14:paraId="61BE0955" w14:textId="77777777" w:rsidR="00D94187" w:rsidRPr="00C53002" w:rsidRDefault="00D94187">
      <w:pPr>
        <w:spacing w:after="120" w:line="240" w:lineRule="auto"/>
        <w:ind w:left="426"/>
        <w:contextualSpacing/>
        <w:jc w:val="both"/>
        <w:rPr>
          <w:rFonts w:eastAsiaTheme="majorEastAsia" w:cstheme="minorHAnsi"/>
          <w:b/>
          <w:bCs/>
        </w:rPr>
      </w:pPr>
    </w:p>
    <w:p w14:paraId="5278D978" w14:textId="1F9986F0" w:rsidR="00D94187" w:rsidRPr="00C53002" w:rsidRDefault="00C53002" w:rsidP="00C53002">
      <w:pPr>
        <w:keepNext/>
        <w:keepLines/>
        <w:spacing w:before="40" w:after="120" w:line="240" w:lineRule="auto"/>
        <w:outlineLvl w:val="3"/>
        <w:rPr>
          <w:rFonts w:eastAsiaTheme="majorEastAsia" w:cstheme="minorHAnsi"/>
          <w:b/>
          <w:bCs/>
          <w:iCs/>
        </w:rPr>
      </w:pPr>
      <w:bookmarkStart w:id="3" w:name="_Toc140228636"/>
      <w:r w:rsidRPr="00C53002">
        <w:rPr>
          <w:rFonts w:eastAsiaTheme="majorEastAsia" w:cstheme="minorHAnsi"/>
          <w:b/>
          <w:bCs/>
          <w:iCs/>
        </w:rPr>
        <w:t xml:space="preserve">3. </w:t>
      </w:r>
      <w:r w:rsidR="009A487B" w:rsidRPr="00C53002">
        <w:rPr>
          <w:rFonts w:eastAsiaTheme="majorEastAsia" w:cstheme="minorHAnsi"/>
          <w:b/>
          <w:bCs/>
          <w:iCs/>
        </w:rPr>
        <w:t xml:space="preserve">Wymagania dotyczące minimalnych parametrów urządzeń </w:t>
      </w:r>
      <w:bookmarkEnd w:id="3"/>
      <w:r>
        <w:rPr>
          <w:rFonts w:eastAsiaTheme="majorEastAsia" w:cstheme="minorHAnsi"/>
          <w:b/>
          <w:bCs/>
          <w:iCs/>
        </w:rPr>
        <w:t>zamontowanych</w:t>
      </w:r>
    </w:p>
    <w:p w14:paraId="7C0945F1" w14:textId="75261B17" w:rsidR="00E15D00" w:rsidRDefault="00E15D00">
      <w:pPr>
        <w:spacing w:after="120" w:line="240" w:lineRule="auto"/>
        <w:jc w:val="both"/>
        <w:rPr>
          <w:rFonts w:cstheme="minorHAnsi"/>
        </w:rPr>
      </w:pPr>
      <w:r>
        <w:rPr>
          <w:rFonts w:cstheme="minorHAnsi"/>
        </w:rPr>
        <w:t>P</w:t>
      </w:r>
      <w:r w:rsidRPr="00E15D00">
        <w:rPr>
          <w:rFonts w:cstheme="minorHAnsi"/>
        </w:rPr>
        <w:t>owierzchnia na obszarze głównym wynosi 14  x 20  = 280 m2 plus obszar dodatkowy  16,3 x 8,7 = 141,81 m2</w:t>
      </w:r>
      <w:r>
        <w:rPr>
          <w:rFonts w:cstheme="minorHAnsi"/>
        </w:rPr>
        <w:t>.</w:t>
      </w:r>
    </w:p>
    <w:p w14:paraId="013BB766" w14:textId="0C03776D" w:rsidR="00D94187" w:rsidRPr="00FC263A" w:rsidRDefault="009A487B">
      <w:pPr>
        <w:spacing w:after="120" w:line="240" w:lineRule="auto"/>
        <w:jc w:val="both"/>
        <w:rPr>
          <w:rFonts w:cstheme="minorHAnsi"/>
        </w:rPr>
      </w:pPr>
      <w:r w:rsidRPr="00FC263A">
        <w:rPr>
          <w:rFonts w:cstheme="minorHAnsi"/>
        </w:rPr>
        <w:t xml:space="preserve">Zamawiający wymaga aby do </w:t>
      </w:r>
      <w:r w:rsidR="00C53002">
        <w:rPr>
          <w:rFonts w:cstheme="minorHAnsi"/>
        </w:rPr>
        <w:t>montażu</w:t>
      </w:r>
      <w:r w:rsidRPr="00FC263A">
        <w:rPr>
          <w:rFonts w:cstheme="minorHAnsi"/>
        </w:rPr>
        <w:t xml:space="preserve"> instalacji fotowoltaicznych zostały zastosowane wyroby fabrycznie nowe (wyprodukowane nie wcześniej niż 12 miesięcy przed dostarczeniem </w:t>
      </w:r>
      <w:r w:rsidR="00C53002">
        <w:rPr>
          <w:rFonts w:cstheme="minorHAnsi"/>
        </w:rPr>
        <w:t>do Zamawiającego</w:t>
      </w:r>
      <w:r w:rsidRPr="00FC263A">
        <w:rPr>
          <w:rFonts w:cstheme="minorHAnsi"/>
        </w:rPr>
        <w:t xml:space="preserve"> w przypadku paneli fotowoltaicznych, ). Wyroby wchodzące w skład systemu instalacji fotowoltaiczne musza być pozbawione fabrycznych wad i widocznych uszkodzeń.</w:t>
      </w:r>
    </w:p>
    <w:p w14:paraId="6AF77F9F" w14:textId="77777777" w:rsidR="00D94187" w:rsidRPr="00FC263A" w:rsidRDefault="009A487B">
      <w:pPr>
        <w:spacing w:after="120" w:line="240" w:lineRule="auto"/>
        <w:jc w:val="both"/>
        <w:rPr>
          <w:rFonts w:cstheme="minorHAnsi"/>
        </w:rPr>
      </w:pPr>
      <w:r w:rsidRPr="00FC263A">
        <w:rPr>
          <w:rFonts w:cstheme="minorHAnsi"/>
        </w:rPr>
        <w:t xml:space="preserve">Zastosowane urządzenia i konstrukcja muszą posiadać odpowiednie certyfikaty, dopuszczenia oraz dokumenty potwierdzające ich zgodność z obowiązującymi przepisami prawa oraz normami technicznymi. Muszą spełniać wymagania techniczne i kryteria przyłączenia dla </w:t>
      </w:r>
      <w:proofErr w:type="spellStart"/>
      <w:r w:rsidRPr="00FC263A">
        <w:rPr>
          <w:rFonts w:cstheme="minorHAnsi"/>
        </w:rPr>
        <w:t>mikroinstalacji</w:t>
      </w:r>
      <w:proofErr w:type="spellEnd"/>
      <w:r w:rsidRPr="00FC263A">
        <w:rPr>
          <w:rFonts w:cstheme="minorHAnsi"/>
        </w:rPr>
        <w:t xml:space="preserve"> opracowane przez Operatora Sieci elektroenergetycznej, do którego sieci instalacja fotowoltaiczna zostanie przyłączona.</w:t>
      </w:r>
    </w:p>
    <w:p w14:paraId="33E7E01D" w14:textId="77777777" w:rsidR="00D94187" w:rsidRPr="00FC263A" w:rsidRDefault="009A487B">
      <w:pPr>
        <w:spacing w:after="120" w:line="240" w:lineRule="auto"/>
        <w:jc w:val="both"/>
        <w:rPr>
          <w:rFonts w:cstheme="minorHAnsi"/>
          <w:b/>
          <w:bCs/>
          <w:u w:val="single"/>
        </w:rPr>
      </w:pPr>
      <w:r w:rsidRPr="00FC263A">
        <w:rPr>
          <w:rFonts w:cstheme="minorHAnsi"/>
          <w:b/>
          <w:bCs/>
          <w:u w:val="single"/>
        </w:rPr>
        <w:br/>
        <w:t>Minimalne parametry dla poszczególnych elementów systemu:</w:t>
      </w:r>
    </w:p>
    <w:p w14:paraId="618D8662" w14:textId="77777777" w:rsidR="00D94187" w:rsidRPr="00FC263A" w:rsidRDefault="009A487B">
      <w:pPr>
        <w:spacing w:after="120" w:line="240" w:lineRule="auto"/>
        <w:jc w:val="both"/>
        <w:rPr>
          <w:rFonts w:cstheme="minorHAnsi"/>
          <w:b/>
          <w:bCs/>
        </w:rPr>
      </w:pPr>
      <w:r w:rsidRPr="00FC263A">
        <w:rPr>
          <w:rFonts w:cstheme="minorHAnsi"/>
          <w:b/>
          <w:bCs/>
        </w:rPr>
        <w:t>Ogniwa fotowoltaiczne (panele PV)</w:t>
      </w:r>
    </w:p>
    <w:tbl>
      <w:tblPr>
        <w:tblStyle w:val="Tabela-Siatka1"/>
        <w:tblW w:w="9205" w:type="dxa"/>
        <w:tblLayout w:type="fixed"/>
        <w:tblLook w:val="04A0" w:firstRow="1" w:lastRow="0" w:firstColumn="1" w:lastColumn="0" w:noHBand="0" w:noVBand="1"/>
      </w:tblPr>
      <w:tblGrid>
        <w:gridCol w:w="3961"/>
        <w:gridCol w:w="5244"/>
      </w:tblGrid>
      <w:tr w:rsidR="00D94187" w:rsidRPr="00FC263A" w14:paraId="6DB9F708" w14:textId="77777777">
        <w:tc>
          <w:tcPr>
            <w:tcW w:w="3961" w:type="dxa"/>
            <w:vAlign w:val="center"/>
          </w:tcPr>
          <w:p w14:paraId="0D69533E" w14:textId="77777777" w:rsidR="00D94187" w:rsidRPr="00FC263A" w:rsidRDefault="009A487B">
            <w:pPr>
              <w:widowControl w:val="0"/>
              <w:spacing w:after="0" w:line="240" w:lineRule="auto"/>
              <w:rPr>
                <w:rFonts w:cstheme="minorHAnsi"/>
                <w:b/>
                <w:bCs/>
              </w:rPr>
            </w:pPr>
            <w:r w:rsidRPr="00FC263A">
              <w:rPr>
                <w:rFonts w:eastAsia="Calibri" w:cstheme="minorHAnsi"/>
                <w:b/>
                <w:bCs/>
              </w:rPr>
              <w:t>Moc jednostkowa modułu</w:t>
            </w:r>
          </w:p>
        </w:tc>
        <w:tc>
          <w:tcPr>
            <w:tcW w:w="5243" w:type="dxa"/>
            <w:vAlign w:val="center"/>
          </w:tcPr>
          <w:p w14:paraId="1CAB2BBF" w14:textId="77777777" w:rsidR="00D94187" w:rsidRPr="00FC263A" w:rsidRDefault="009A487B">
            <w:pPr>
              <w:widowControl w:val="0"/>
              <w:spacing w:after="0" w:line="240" w:lineRule="auto"/>
              <w:rPr>
                <w:rFonts w:eastAsia="Calibri" w:cstheme="minorHAnsi"/>
              </w:rPr>
            </w:pPr>
            <w:r w:rsidRPr="00FC263A">
              <w:rPr>
                <w:rFonts w:eastAsia="Calibri" w:cstheme="minorHAnsi"/>
              </w:rPr>
              <w:t xml:space="preserve">Nie mniejsza niż 420 W </w:t>
            </w:r>
            <w:r w:rsidRPr="00FC263A">
              <w:rPr>
                <w:rFonts w:eastAsia="Calibri" w:cstheme="minorHAnsi"/>
              </w:rPr>
              <w:br/>
              <w:t>(z dodatnią tolerancją mocy)</w:t>
            </w:r>
          </w:p>
        </w:tc>
      </w:tr>
      <w:tr w:rsidR="00D94187" w:rsidRPr="00FC263A" w14:paraId="587F1AC7" w14:textId="77777777">
        <w:tc>
          <w:tcPr>
            <w:tcW w:w="3961" w:type="dxa"/>
            <w:vAlign w:val="center"/>
          </w:tcPr>
          <w:p w14:paraId="1246D409" w14:textId="77777777" w:rsidR="00D94187" w:rsidRPr="00FC263A" w:rsidRDefault="009A487B">
            <w:pPr>
              <w:widowControl w:val="0"/>
              <w:spacing w:after="0" w:line="240" w:lineRule="auto"/>
              <w:rPr>
                <w:rFonts w:cstheme="minorHAnsi"/>
                <w:b/>
                <w:bCs/>
              </w:rPr>
            </w:pPr>
            <w:r w:rsidRPr="00FC263A">
              <w:rPr>
                <w:rFonts w:eastAsia="Calibri" w:cstheme="minorHAnsi"/>
                <w:b/>
                <w:bCs/>
              </w:rPr>
              <w:t>Gwarancja wydajności modułu</w:t>
            </w:r>
          </w:p>
        </w:tc>
        <w:tc>
          <w:tcPr>
            <w:tcW w:w="5243" w:type="dxa"/>
            <w:vAlign w:val="center"/>
          </w:tcPr>
          <w:p w14:paraId="424126ED" w14:textId="77777777" w:rsidR="00D94187" w:rsidRPr="00FC263A" w:rsidRDefault="009A487B">
            <w:pPr>
              <w:widowControl w:val="0"/>
              <w:spacing w:after="0" w:line="240" w:lineRule="auto"/>
              <w:rPr>
                <w:rFonts w:eastAsia="Calibri" w:cstheme="minorHAnsi"/>
              </w:rPr>
            </w:pPr>
            <w:r w:rsidRPr="00FC263A">
              <w:rPr>
                <w:rFonts w:eastAsia="Calibri" w:cstheme="minorHAnsi"/>
              </w:rPr>
              <w:t>Maksymalna degradacja w 1-szym roku = 2%</w:t>
            </w:r>
            <w:r w:rsidRPr="00FC263A">
              <w:rPr>
                <w:rFonts w:eastAsia="Calibri" w:cstheme="minorHAnsi"/>
              </w:rPr>
              <w:br/>
              <w:t>Maksymalna roczna degradacja w latach 2-25 = 0,55%</w:t>
            </w:r>
          </w:p>
        </w:tc>
      </w:tr>
      <w:tr w:rsidR="00D94187" w:rsidRPr="00FC263A" w14:paraId="6E88D8DA" w14:textId="77777777">
        <w:tc>
          <w:tcPr>
            <w:tcW w:w="3961" w:type="dxa"/>
            <w:vAlign w:val="center"/>
          </w:tcPr>
          <w:p w14:paraId="1F33257A" w14:textId="77777777" w:rsidR="00D94187" w:rsidRPr="00FC263A" w:rsidRDefault="009A487B">
            <w:pPr>
              <w:widowControl w:val="0"/>
              <w:spacing w:after="0" w:line="240" w:lineRule="auto"/>
              <w:rPr>
                <w:rFonts w:cstheme="minorHAnsi"/>
                <w:b/>
                <w:bCs/>
              </w:rPr>
            </w:pPr>
            <w:r w:rsidRPr="00FC263A">
              <w:rPr>
                <w:rFonts w:eastAsia="Calibri" w:cstheme="minorHAnsi"/>
                <w:b/>
                <w:bCs/>
              </w:rPr>
              <w:t>Odporność na obciążenia</w:t>
            </w:r>
          </w:p>
        </w:tc>
        <w:tc>
          <w:tcPr>
            <w:tcW w:w="5243" w:type="dxa"/>
            <w:vAlign w:val="center"/>
          </w:tcPr>
          <w:p w14:paraId="0831835A" w14:textId="77777777" w:rsidR="00D94187" w:rsidRPr="00FC263A" w:rsidRDefault="009A487B">
            <w:pPr>
              <w:widowControl w:val="0"/>
              <w:spacing w:after="0" w:line="240" w:lineRule="auto"/>
              <w:rPr>
                <w:rFonts w:eastAsia="Calibri" w:cstheme="minorHAnsi"/>
              </w:rPr>
            </w:pPr>
            <w:r w:rsidRPr="00FC263A">
              <w:rPr>
                <w:rFonts w:eastAsia="Calibri" w:cstheme="minorHAnsi"/>
              </w:rPr>
              <w:t>Obciążenia dodatnie do 6,000Pa (śnieg)</w:t>
            </w:r>
            <w:r w:rsidRPr="00FC263A">
              <w:rPr>
                <w:rFonts w:eastAsia="Calibri" w:cstheme="minorHAnsi"/>
              </w:rPr>
              <w:br/>
              <w:t>Obciążenia ujemne do 4,000 Pa (wiatr)</w:t>
            </w:r>
          </w:p>
        </w:tc>
      </w:tr>
      <w:tr w:rsidR="00D94187" w:rsidRPr="00FC263A" w14:paraId="1E172F0E" w14:textId="77777777">
        <w:tc>
          <w:tcPr>
            <w:tcW w:w="3961" w:type="dxa"/>
            <w:vAlign w:val="center"/>
          </w:tcPr>
          <w:p w14:paraId="12F41623" w14:textId="77777777" w:rsidR="00D94187" w:rsidRPr="00FC263A" w:rsidRDefault="009A487B">
            <w:pPr>
              <w:widowControl w:val="0"/>
              <w:spacing w:after="0" w:line="240" w:lineRule="auto"/>
              <w:rPr>
                <w:rFonts w:cstheme="minorHAnsi"/>
                <w:b/>
                <w:bCs/>
              </w:rPr>
            </w:pPr>
            <w:r w:rsidRPr="00FC263A">
              <w:rPr>
                <w:rFonts w:eastAsia="Calibri" w:cstheme="minorHAnsi"/>
                <w:b/>
                <w:bCs/>
              </w:rPr>
              <w:t>Minimalna sprawność modułu</w:t>
            </w:r>
          </w:p>
        </w:tc>
        <w:tc>
          <w:tcPr>
            <w:tcW w:w="5243" w:type="dxa"/>
            <w:vAlign w:val="center"/>
          </w:tcPr>
          <w:p w14:paraId="390208C5" w14:textId="77777777" w:rsidR="00D94187" w:rsidRPr="00FC263A" w:rsidRDefault="009A487B">
            <w:pPr>
              <w:widowControl w:val="0"/>
              <w:spacing w:after="0" w:line="240" w:lineRule="auto"/>
              <w:rPr>
                <w:rFonts w:eastAsia="Calibri" w:cstheme="minorHAnsi"/>
              </w:rPr>
            </w:pPr>
            <w:r w:rsidRPr="00FC263A">
              <w:rPr>
                <w:rFonts w:eastAsia="Calibri" w:cstheme="minorHAnsi"/>
              </w:rPr>
              <w:t>20,9%</w:t>
            </w:r>
          </w:p>
        </w:tc>
      </w:tr>
    </w:tbl>
    <w:p w14:paraId="7A74FC7B" w14:textId="77777777" w:rsidR="00D94187" w:rsidRPr="00FC263A" w:rsidRDefault="00D94187">
      <w:pPr>
        <w:spacing w:after="120" w:line="240" w:lineRule="auto"/>
        <w:ind w:left="720"/>
        <w:contextualSpacing/>
        <w:jc w:val="both"/>
        <w:rPr>
          <w:rFonts w:cstheme="minorHAnsi"/>
        </w:rPr>
      </w:pPr>
    </w:p>
    <w:p w14:paraId="7506F710" w14:textId="32F3CA01" w:rsidR="00D94187" w:rsidRPr="00FC263A" w:rsidRDefault="009A487B">
      <w:pPr>
        <w:spacing w:after="120" w:line="240" w:lineRule="auto"/>
        <w:jc w:val="both"/>
        <w:rPr>
          <w:rFonts w:cstheme="minorHAnsi"/>
          <w:b/>
          <w:bCs/>
        </w:rPr>
      </w:pPr>
      <w:r w:rsidRPr="00FC263A">
        <w:rPr>
          <w:rFonts w:cstheme="minorHAnsi"/>
          <w:b/>
          <w:bCs/>
        </w:rPr>
        <w:t xml:space="preserve">Inwerter - </w:t>
      </w:r>
      <w:r w:rsidRPr="00FC263A">
        <w:rPr>
          <w:rFonts w:cstheme="minorHAnsi"/>
        </w:rPr>
        <w:t>dobór inwertera o mocy odpowiedniej do paneli fotowoltaicznych</w:t>
      </w:r>
      <w:r w:rsidR="00E65077">
        <w:rPr>
          <w:rFonts w:cstheme="minorHAnsi"/>
        </w:rPr>
        <w:t>.</w:t>
      </w:r>
      <w:r w:rsidRPr="00FC263A">
        <w:rPr>
          <w:rFonts w:cstheme="minorHAnsi"/>
        </w:rPr>
        <w:t xml:space="preserve"> Parametry jakościowe inwertera muszą być zgodne z parametrami Operatora Systemu. Dopuszcza się zastosowanie dwóch inwerterów o mniejszej mocy jednostkowej, ale ich moc sumaryczna musi odpowiadać mocy instalacji fotowoltaicznej. </w:t>
      </w:r>
    </w:p>
    <w:p w14:paraId="27410EBC" w14:textId="77777777" w:rsidR="00D94187" w:rsidRPr="00FC263A" w:rsidRDefault="009A487B">
      <w:pPr>
        <w:numPr>
          <w:ilvl w:val="0"/>
          <w:numId w:val="7"/>
        </w:numPr>
        <w:ind w:left="993" w:hanging="426"/>
        <w:contextualSpacing/>
        <w:jc w:val="both"/>
        <w:rPr>
          <w:rFonts w:cstheme="minorHAnsi"/>
        </w:rPr>
      </w:pPr>
      <w:r w:rsidRPr="00FC263A">
        <w:rPr>
          <w:rFonts w:cstheme="minorHAnsi"/>
        </w:rPr>
        <w:t>Typ inwertera: trójfazowy, beztransformatorowy</w:t>
      </w:r>
    </w:p>
    <w:p w14:paraId="05DF07C2" w14:textId="77777777" w:rsidR="00D94187" w:rsidRPr="00FC263A" w:rsidRDefault="009A487B">
      <w:pPr>
        <w:numPr>
          <w:ilvl w:val="0"/>
          <w:numId w:val="7"/>
        </w:numPr>
        <w:ind w:left="993" w:hanging="426"/>
        <w:contextualSpacing/>
        <w:jc w:val="both"/>
        <w:rPr>
          <w:rFonts w:cstheme="minorHAnsi"/>
        </w:rPr>
      </w:pPr>
      <w:r w:rsidRPr="00FC263A">
        <w:rPr>
          <w:rFonts w:cstheme="minorHAnsi"/>
        </w:rPr>
        <w:t xml:space="preserve">Musi umożliwiać gromadzenie i prezentację danych o ilości energii elektrycznej wytworzonej w instalacji (przez Internet z wykorzystaniem strony www i/lub dedykowanej aplikacji mobilnej) </w:t>
      </w:r>
    </w:p>
    <w:p w14:paraId="58395F90" w14:textId="77777777" w:rsidR="00D94187" w:rsidRPr="00FC263A" w:rsidRDefault="009A487B">
      <w:pPr>
        <w:numPr>
          <w:ilvl w:val="0"/>
          <w:numId w:val="7"/>
        </w:numPr>
        <w:ind w:left="993" w:hanging="426"/>
        <w:contextualSpacing/>
        <w:jc w:val="both"/>
        <w:rPr>
          <w:rFonts w:cstheme="minorHAnsi"/>
        </w:rPr>
      </w:pPr>
      <w:r w:rsidRPr="00FC263A">
        <w:rPr>
          <w:rFonts w:cstheme="minorHAnsi"/>
        </w:rPr>
        <w:t xml:space="preserve">Ma zawierać moduł komunikacyjny do przesyłania danych (Wi-Fi lub Ethernet), </w:t>
      </w:r>
    </w:p>
    <w:p w14:paraId="2C13F918" w14:textId="77777777" w:rsidR="00D94187" w:rsidRPr="00FC263A" w:rsidRDefault="009A487B">
      <w:pPr>
        <w:numPr>
          <w:ilvl w:val="0"/>
          <w:numId w:val="7"/>
        </w:numPr>
        <w:ind w:left="993" w:hanging="426"/>
        <w:contextualSpacing/>
        <w:jc w:val="both"/>
        <w:rPr>
          <w:rFonts w:cstheme="minorHAnsi"/>
        </w:rPr>
      </w:pPr>
      <w:r w:rsidRPr="00FC263A">
        <w:rPr>
          <w:rFonts w:cstheme="minorHAnsi"/>
        </w:rPr>
        <w:t xml:space="preserve">Ma umożliwiać kontrolowanie procesu przekazywania energii </w:t>
      </w:r>
    </w:p>
    <w:p w14:paraId="1547E922" w14:textId="77777777" w:rsidR="00D94187" w:rsidRPr="00FC263A" w:rsidRDefault="009A487B">
      <w:pPr>
        <w:numPr>
          <w:ilvl w:val="0"/>
          <w:numId w:val="7"/>
        </w:numPr>
        <w:ind w:left="993" w:hanging="426"/>
        <w:contextualSpacing/>
        <w:jc w:val="both"/>
        <w:rPr>
          <w:rFonts w:cstheme="minorHAnsi"/>
        </w:rPr>
      </w:pPr>
      <w:r w:rsidRPr="00FC263A">
        <w:rPr>
          <w:rFonts w:cstheme="minorHAnsi"/>
        </w:rPr>
        <w:t>Ma umożliwiać archiwizację danych pomiarowych na centralnym serwerze</w:t>
      </w:r>
    </w:p>
    <w:p w14:paraId="02C787E9" w14:textId="77777777" w:rsidR="00D94187" w:rsidRPr="00FC263A" w:rsidRDefault="009A487B">
      <w:pPr>
        <w:numPr>
          <w:ilvl w:val="0"/>
          <w:numId w:val="7"/>
        </w:numPr>
        <w:ind w:left="993" w:hanging="426"/>
        <w:contextualSpacing/>
        <w:jc w:val="both"/>
        <w:rPr>
          <w:rFonts w:cstheme="minorHAnsi"/>
        </w:rPr>
      </w:pPr>
      <w:r w:rsidRPr="00FC263A">
        <w:rPr>
          <w:rFonts w:cstheme="minorHAnsi"/>
        </w:rPr>
        <w:t>Ma udostępniać zgromadzone dane o ilości wytworzonej energii elektrycznej</w:t>
      </w:r>
    </w:p>
    <w:p w14:paraId="3BB59EDB" w14:textId="77777777" w:rsidR="00D94187" w:rsidRPr="00FC263A" w:rsidRDefault="009A487B">
      <w:pPr>
        <w:numPr>
          <w:ilvl w:val="0"/>
          <w:numId w:val="7"/>
        </w:numPr>
        <w:ind w:left="993" w:hanging="426"/>
        <w:contextualSpacing/>
        <w:jc w:val="both"/>
        <w:rPr>
          <w:rFonts w:cstheme="minorHAnsi"/>
        </w:rPr>
      </w:pPr>
      <w:r w:rsidRPr="00FC263A">
        <w:rPr>
          <w:rFonts w:cstheme="minorHAnsi"/>
        </w:rPr>
        <w:t xml:space="preserve">Odczyt menu w języku polskim </w:t>
      </w:r>
    </w:p>
    <w:p w14:paraId="419C0DA7" w14:textId="08C847CE" w:rsidR="00D94187" w:rsidRPr="00FC263A" w:rsidRDefault="009A487B">
      <w:pPr>
        <w:numPr>
          <w:ilvl w:val="0"/>
          <w:numId w:val="7"/>
        </w:numPr>
        <w:ind w:left="993" w:hanging="426"/>
        <w:contextualSpacing/>
        <w:jc w:val="both"/>
        <w:rPr>
          <w:rFonts w:cstheme="minorHAnsi"/>
        </w:rPr>
      </w:pPr>
      <w:r w:rsidRPr="00FC263A">
        <w:rPr>
          <w:rFonts w:cstheme="minorHAnsi"/>
        </w:rPr>
        <w:t xml:space="preserve">Gwarancja: minimum </w:t>
      </w:r>
      <w:r w:rsidR="00E65077">
        <w:rPr>
          <w:rFonts w:cstheme="minorHAnsi"/>
        </w:rPr>
        <w:t>144 miesiące</w:t>
      </w:r>
    </w:p>
    <w:p w14:paraId="1AC4A533" w14:textId="77777777" w:rsidR="00D94187" w:rsidRPr="00FC263A" w:rsidRDefault="00D94187">
      <w:pPr>
        <w:spacing w:after="53" w:line="240" w:lineRule="auto"/>
        <w:jc w:val="both"/>
        <w:rPr>
          <w:rFonts w:cstheme="minorHAnsi"/>
          <w:b/>
          <w:bCs/>
        </w:rPr>
      </w:pPr>
    </w:p>
    <w:p w14:paraId="446C94E3" w14:textId="067752D3" w:rsidR="00D94187" w:rsidRPr="00E65077" w:rsidRDefault="009A487B" w:rsidP="00E65077">
      <w:pPr>
        <w:spacing w:after="53" w:line="240" w:lineRule="auto"/>
        <w:jc w:val="both"/>
        <w:rPr>
          <w:rFonts w:eastAsia="Calibri" w:cstheme="minorHAnsi"/>
        </w:rPr>
      </w:pPr>
      <w:r w:rsidRPr="00FC263A">
        <w:rPr>
          <w:rFonts w:cstheme="minorHAnsi"/>
          <w:b/>
          <w:bCs/>
        </w:rPr>
        <w:t>Optymalizatory mocy -</w:t>
      </w:r>
      <w:r w:rsidRPr="00FC263A">
        <w:rPr>
          <w:rFonts w:eastAsia="Calibri" w:cstheme="minorHAnsi"/>
          <w:color w:val="000000"/>
          <w:sz w:val="24"/>
          <w:szCs w:val="24"/>
        </w:rPr>
        <w:t xml:space="preserve"> </w:t>
      </w:r>
      <w:r w:rsidRPr="00FC263A">
        <w:rPr>
          <w:rFonts w:eastAsia="Calibri" w:cstheme="minorHAnsi"/>
        </w:rPr>
        <w:t xml:space="preserve">z </w:t>
      </w:r>
      <w:bookmarkStart w:id="4" w:name="_Hlk99449512"/>
      <w:r w:rsidRPr="00FC263A">
        <w:rPr>
          <w:rFonts w:eastAsia="Calibri" w:cstheme="minorHAnsi"/>
        </w:rPr>
        <w:t xml:space="preserve">uwagi na występowanie licznych zacienień na dachach oraz dla poprawy bezpieczeństwa pożarowego wymaga się zastosowania optymalizacji mocy modułów aby ograniczyć skutki zacienienia i powstawania tzw. Hot Spot oraz zmaksymalizować uzyski energetyczne instalacji fotowoltaicznej. </w:t>
      </w:r>
      <w:bookmarkEnd w:id="4"/>
      <w:r w:rsidRPr="00FC263A">
        <w:rPr>
          <w:rFonts w:eastAsia="Calibri" w:cstheme="minorHAnsi"/>
        </w:rPr>
        <w:t xml:space="preserve">Przez optymalizacje mocy rozumie się oddzielne urządzenia podłączone przewodowo z każdym panelem fotowoltaicznym instalacji PV, lub jeżeli technologia na to pozwala, jedno urządzenie obsługujące dwa panele fotowoltaiczne. </w:t>
      </w:r>
    </w:p>
    <w:p w14:paraId="1498AAC6" w14:textId="77777777" w:rsidR="00D94187" w:rsidRPr="00FC263A" w:rsidRDefault="009A487B">
      <w:pPr>
        <w:spacing w:after="120" w:line="240" w:lineRule="auto"/>
        <w:jc w:val="both"/>
        <w:rPr>
          <w:rFonts w:cstheme="minorHAnsi"/>
          <w:b/>
          <w:bCs/>
        </w:rPr>
      </w:pPr>
      <w:r w:rsidRPr="00FC263A">
        <w:rPr>
          <w:rFonts w:cstheme="minorHAnsi"/>
          <w:b/>
          <w:bCs/>
        </w:rPr>
        <w:t>Przewody elektryczne instalacji</w:t>
      </w:r>
    </w:p>
    <w:p w14:paraId="3FDC2D65" w14:textId="77777777" w:rsidR="00D94187" w:rsidRPr="00FC263A" w:rsidRDefault="009A487B">
      <w:pPr>
        <w:numPr>
          <w:ilvl w:val="0"/>
          <w:numId w:val="7"/>
        </w:numPr>
        <w:ind w:left="993" w:hanging="426"/>
        <w:contextualSpacing/>
        <w:jc w:val="both"/>
        <w:rPr>
          <w:rFonts w:cstheme="minorHAnsi"/>
        </w:rPr>
      </w:pPr>
      <w:r w:rsidRPr="00FC263A">
        <w:rPr>
          <w:rFonts w:cstheme="minorHAnsi"/>
        </w:rPr>
        <w:t>II klasa ochrony,</w:t>
      </w:r>
    </w:p>
    <w:p w14:paraId="7CC64FC2" w14:textId="77777777" w:rsidR="00D94187" w:rsidRPr="00FC263A" w:rsidRDefault="009A487B">
      <w:pPr>
        <w:numPr>
          <w:ilvl w:val="0"/>
          <w:numId w:val="7"/>
        </w:numPr>
        <w:ind w:left="993" w:hanging="426"/>
        <w:contextualSpacing/>
        <w:jc w:val="both"/>
        <w:rPr>
          <w:rFonts w:cstheme="minorHAnsi"/>
        </w:rPr>
      </w:pPr>
      <w:r w:rsidRPr="00FC263A">
        <w:rPr>
          <w:rFonts w:cstheme="minorHAnsi"/>
        </w:rPr>
        <w:t>chroniące przed zwarciami,</w:t>
      </w:r>
    </w:p>
    <w:p w14:paraId="5EEEBE09" w14:textId="77777777" w:rsidR="00D94187" w:rsidRPr="00FC263A" w:rsidRDefault="009A487B">
      <w:pPr>
        <w:numPr>
          <w:ilvl w:val="0"/>
          <w:numId w:val="7"/>
        </w:numPr>
        <w:ind w:left="993" w:hanging="426"/>
        <w:contextualSpacing/>
        <w:jc w:val="both"/>
        <w:rPr>
          <w:rFonts w:cstheme="minorHAnsi"/>
        </w:rPr>
      </w:pPr>
      <w:r w:rsidRPr="00FC263A">
        <w:rPr>
          <w:rFonts w:cstheme="minorHAnsi"/>
        </w:rPr>
        <w:t>minimalny zakres pracy w temperaturach: -40°C - + 85°C,</w:t>
      </w:r>
    </w:p>
    <w:p w14:paraId="07FD4327" w14:textId="77777777" w:rsidR="00D94187" w:rsidRPr="00FC263A" w:rsidRDefault="009A487B">
      <w:pPr>
        <w:numPr>
          <w:ilvl w:val="0"/>
          <w:numId w:val="7"/>
        </w:numPr>
        <w:ind w:left="993" w:hanging="426"/>
        <w:contextualSpacing/>
        <w:jc w:val="both"/>
        <w:rPr>
          <w:rFonts w:cstheme="minorHAnsi"/>
        </w:rPr>
      </w:pPr>
      <w:r w:rsidRPr="00FC263A">
        <w:rPr>
          <w:rFonts w:cstheme="minorHAnsi"/>
        </w:rPr>
        <w:t xml:space="preserve">przewody wykonane z miedzi dobrać do obciążenia, spadku napięć, warunków zwarciowych. </w:t>
      </w:r>
    </w:p>
    <w:p w14:paraId="699EF7FE" w14:textId="129CB1C7" w:rsidR="00E65077" w:rsidRDefault="009A487B">
      <w:pPr>
        <w:jc w:val="both"/>
        <w:rPr>
          <w:rFonts w:cstheme="minorHAnsi"/>
        </w:rPr>
      </w:pPr>
      <w:r w:rsidRPr="00FC263A">
        <w:rPr>
          <w:rFonts w:cstheme="minorHAnsi"/>
          <w:b/>
          <w:bCs/>
        </w:rPr>
        <w:t>Opomiarowanie energii produkowanej przez źródło wytwórcze</w:t>
      </w:r>
      <w:r w:rsidRPr="00FC263A">
        <w:rPr>
          <w:rFonts w:cstheme="minorHAnsi"/>
        </w:rPr>
        <w:t xml:space="preserve"> - wymaga się, żeby każda instalacji PV została wyposażona w dodatkowy licznik energii elektrycznej, który w czasie rzeczywistym będzie pozwalał kontrolować przepływ energii, a następnie system operacyjny będzie tworzył bilans energii pobranej z sieci, zużytej na bieżąco, oddanej do sieci. Wszystkie parametry pracy instalacji fotowoltaicznej muszą być dostępne z poziomu jednej aplikacji mobilnej, a także przez przeglądarkę internetową.</w:t>
      </w:r>
    </w:p>
    <w:p w14:paraId="1A779251" w14:textId="77777777" w:rsidR="00E65077" w:rsidRPr="00FC263A" w:rsidRDefault="00E65077">
      <w:pPr>
        <w:jc w:val="both"/>
        <w:rPr>
          <w:rFonts w:cstheme="minorHAnsi"/>
        </w:rPr>
      </w:pPr>
    </w:p>
    <w:p w14:paraId="6F8F7D34" w14:textId="3BC86F43" w:rsidR="00D94187" w:rsidRPr="00E65077" w:rsidRDefault="00E65077" w:rsidP="00E65077">
      <w:pPr>
        <w:keepNext/>
        <w:keepLines/>
        <w:spacing w:before="40" w:after="0"/>
        <w:outlineLvl w:val="3"/>
        <w:rPr>
          <w:rFonts w:eastAsiaTheme="majorEastAsia" w:cstheme="minorHAnsi"/>
          <w:b/>
          <w:bCs/>
          <w:iCs/>
        </w:rPr>
      </w:pPr>
      <w:bookmarkStart w:id="5" w:name="_Toc140228637"/>
      <w:r w:rsidRPr="00E65077">
        <w:rPr>
          <w:rFonts w:eastAsiaTheme="majorEastAsia" w:cstheme="minorHAnsi"/>
          <w:b/>
          <w:bCs/>
          <w:iCs/>
        </w:rPr>
        <w:t xml:space="preserve">4. </w:t>
      </w:r>
      <w:r w:rsidR="009A487B" w:rsidRPr="00E65077">
        <w:rPr>
          <w:rFonts w:eastAsiaTheme="majorEastAsia" w:cstheme="minorHAnsi"/>
          <w:b/>
          <w:bCs/>
          <w:iCs/>
        </w:rPr>
        <w:t>Wymagania dotyczące zakończenia prac i prac porządkowych</w:t>
      </w:r>
      <w:bookmarkEnd w:id="5"/>
      <w:r w:rsidR="009A487B" w:rsidRPr="00E65077">
        <w:rPr>
          <w:rFonts w:eastAsiaTheme="majorEastAsia" w:cstheme="minorHAnsi"/>
          <w:b/>
          <w:bCs/>
          <w:iCs/>
        </w:rPr>
        <w:t xml:space="preserve"> </w:t>
      </w:r>
    </w:p>
    <w:p w14:paraId="6EC33451" w14:textId="6D69AFBA" w:rsidR="00D94187" w:rsidRPr="00FC263A" w:rsidRDefault="009A487B">
      <w:pPr>
        <w:spacing w:after="120" w:line="240" w:lineRule="auto"/>
        <w:jc w:val="both"/>
        <w:rPr>
          <w:rFonts w:cstheme="minorHAnsi"/>
        </w:rPr>
      </w:pPr>
      <w:r w:rsidRPr="00FC263A">
        <w:rPr>
          <w:rFonts w:cstheme="minorHAnsi"/>
        </w:rPr>
        <w:t xml:space="preserve">Wykonawca zobowiązany jest do uporządkowania </w:t>
      </w:r>
      <w:r w:rsidR="00C53002">
        <w:rPr>
          <w:rFonts w:cstheme="minorHAnsi"/>
        </w:rPr>
        <w:t>otoczenia – miejsca montażu</w:t>
      </w:r>
      <w:r w:rsidRPr="00FC263A">
        <w:rPr>
          <w:rFonts w:cstheme="minorHAnsi"/>
        </w:rPr>
        <w:t xml:space="preserve"> i doprowadzenia terenu wokół budynku do stanu sprzed przystąpienia do realizacji prac włącznie z odtworzeniem wszelkich ewentualnych zniszczeń elementów zagospodarowania terenu. </w:t>
      </w:r>
    </w:p>
    <w:p w14:paraId="51BAEE27" w14:textId="0A876E6E" w:rsidR="00D94187" w:rsidRPr="00FC263A" w:rsidRDefault="009A487B">
      <w:pPr>
        <w:spacing w:after="120" w:line="240" w:lineRule="auto"/>
        <w:jc w:val="both"/>
        <w:rPr>
          <w:rFonts w:cstheme="minorHAnsi"/>
        </w:rPr>
      </w:pPr>
      <w:r w:rsidRPr="00FC263A">
        <w:rPr>
          <w:rFonts w:cstheme="minorHAnsi"/>
        </w:rPr>
        <w:t>Wszelkiego rodzaju otwory montażowe, przebicia, przejścia, itp., powstałe w czasie prowadzenia prac instalacyjnych należy wykończyć na podstawowym poziomie obróbek murarsko-tynkarskich. Do zadań Wykonawcy należy wykonanie ostatecznego wykończenia miejsc związanych z prowadzeniem prac instalacyjnych, np. poprzez malowanie czy innego rodzaju wykończenia. Za wszelkie zniszczenia lub uszkodzenia elementów konstrukcyjnych obiektu nie związanych z wykonywaną instalacją lub w zakresie większym niż wymaga tego montaż instalacji, odpowiada Wykonawca i jest on zobowiązany do ich usunięcia na własny koszt.</w:t>
      </w:r>
    </w:p>
    <w:p w14:paraId="1D0DD39D" w14:textId="0E621888" w:rsidR="00034C6C" w:rsidRDefault="009A487B" w:rsidP="00E65077">
      <w:pPr>
        <w:spacing w:after="120" w:line="240" w:lineRule="auto"/>
        <w:jc w:val="both"/>
        <w:rPr>
          <w:rFonts w:cstheme="minorHAnsi"/>
        </w:rPr>
      </w:pPr>
      <w:r w:rsidRPr="00FC263A">
        <w:rPr>
          <w:rFonts w:cstheme="minorHAnsi"/>
        </w:rPr>
        <w:t xml:space="preserve">Po zakończeniu prac instalacyjnych Wykonawca zobowiązany jest do uprzątnięcia przekazanego terenu oraz jego otoczenia jeżeli zostało wykorzystane do prowadzenia </w:t>
      </w:r>
      <w:r w:rsidR="00E65077">
        <w:rPr>
          <w:rFonts w:cstheme="minorHAnsi"/>
        </w:rPr>
        <w:t>prac montażowych</w:t>
      </w:r>
      <w:r w:rsidRPr="00FC263A">
        <w:rPr>
          <w:rFonts w:cstheme="minorHAnsi"/>
        </w:rPr>
        <w:t xml:space="preserve">, lub jeżeli w trakcie ich trwania zostało zanieczyszczone przez Wykonawcę. Poprzez uprzątnięcie rozumie się usunięcie niewykorzystanych materiałów oraz resztek materiałów użytych do realizacji </w:t>
      </w:r>
      <w:r w:rsidR="00E65077">
        <w:rPr>
          <w:rFonts w:cstheme="minorHAnsi"/>
        </w:rPr>
        <w:t>montażu</w:t>
      </w:r>
      <w:r w:rsidRPr="00FC263A">
        <w:rPr>
          <w:rFonts w:cstheme="minorHAnsi"/>
        </w:rPr>
        <w:t xml:space="preserve">, usunięcie sprzętu i maszyn wykorzystywanych w trakcie prac, usunięcia innych odpadów powstałych w trakcie prowadzenia </w:t>
      </w:r>
      <w:r w:rsidR="00E65077">
        <w:rPr>
          <w:rFonts w:cstheme="minorHAnsi"/>
        </w:rPr>
        <w:t>montażu</w:t>
      </w:r>
      <w:r w:rsidRPr="00FC263A">
        <w:rPr>
          <w:rFonts w:cstheme="minorHAnsi"/>
        </w:rPr>
        <w:t xml:space="preserve">. </w:t>
      </w:r>
    </w:p>
    <w:p w14:paraId="7BDCA34F" w14:textId="77777777" w:rsidR="00E65077" w:rsidRPr="00FC263A" w:rsidRDefault="00E65077" w:rsidP="00E65077">
      <w:pPr>
        <w:spacing w:after="120" w:line="240" w:lineRule="auto"/>
        <w:jc w:val="both"/>
        <w:rPr>
          <w:rFonts w:cstheme="minorHAnsi"/>
        </w:rPr>
      </w:pPr>
    </w:p>
    <w:p w14:paraId="1F0EEF1F" w14:textId="7FAD8FF7" w:rsidR="00D94187" w:rsidRPr="00E65077" w:rsidRDefault="00E65077" w:rsidP="00E65077">
      <w:pPr>
        <w:spacing w:after="120"/>
        <w:rPr>
          <w:rFonts w:cstheme="minorHAnsi"/>
          <w:b/>
          <w:bCs/>
        </w:rPr>
      </w:pPr>
      <w:r w:rsidRPr="00E65077">
        <w:rPr>
          <w:rFonts w:cstheme="minorHAnsi"/>
          <w:b/>
          <w:bCs/>
        </w:rPr>
        <w:t xml:space="preserve">5. </w:t>
      </w:r>
      <w:r w:rsidR="009A487B" w:rsidRPr="00E65077">
        <w:rPr>
          <w:rFonts w:cstheme="minorHAnsi"/>
          <w:b/>
          <w:bCs/>
        </w:rPr>
        <w:t>Gwarancje</w:t>
      </w:r>
      <w:r w:rsidR="009A487B" w:rsidRPr="00E65077">
        <w:rPr>
          <w:rFonts w:cstheme="minorHAnsi"/>
          <w:b/>
          <w:bCs/>
          <w:color w:val="3465A4"/>
        </w:rPr>
        <w:t xml:space="preserve"> </w:t>
      </w:r>
    </w:p>
    <w:p w14:paraId="1AF84D02" w14:textId="77777777" w:rsidR="00D94187" w:rsidRPr="00FC263A" w:rsidRDefault="009A487B">
      <w:pPr>
        <w:rPr>
          <w:rFonts w:cstheme="minorHAnsi"/>
        </w:rPr>
      </w:pPr>
      <w:r w:rsidRPr="00FC263A">
        <w:rPr>
          <w:rFonts w:cstheme="minorHAnsi"/>
        </w:rPr>
        <w:t xml:space="preserve">Gwarancja na konstrukcje wsporcze dedykowane na dach - co najmniej 180 miesięcy </w:t>
      </w:r>
    </w:p>
    <w:p w14:paraId="42AF09E9" w14:textId="77777777" w:rsidR="00D94187" w:rsidRPr="00FC263A" w:rsidRDefault="009A487B">
      <w:pPr>
        <w:rPr>
          <w:rFonts w:cstheme="minorHAnsi"/>
        </w:rPr>
      </w:pPr>
      <w:r w:rsidRPr="00FC263A">
        <w:rPr>
          <w:rFonts w:cstheme="minorHAnsi"/>
        </w:rPr>
        <w:t>Gwarancja na moduły fotowoltaiczne (produkt)  - co najmniej</w:t>
      </w:r>
      <w:r w:rsidRPr="00FC263A">
        <w:rPr>
          <w:rFonts w:cstheme="minorHAnsi"/>
          <w:strike/>
        </w:rPr>
        <w:t xml:space="preserve"> </w:t>
      </w:r>
      <w:r w:rsidRPr="00FC263A">
        <w:rPr>
          <w:rFonts w:cstheme="minorHAnsi"/>
        </w:rPr>
        <w:t>180 miesięcy</w:t>
      </w:r>
    </w:p>
    <w:p w14:paraId="501C14B9" w14:textId="7AE721C4" w:rsidR="00D94187" w:rsidRPr="00FC263A" w:rsidRDefault="009A487B">
      <w:pPr>
        <w:rPr>
          <w:rFonts w:cstheme="minorHAnsi"/>
        </w:rPr>
      </w:pPr>
      <w:r w:rsidRPr="00FC263A">
        <w:rPr>
          <w:rFonts w:cstheme="minorHAnsi"/>
        </w:rPr>
        <w:t xml:space="preserve">Gwarancja na liniowy spadek mocy </w:t>
      </w:r>
      <w:r w:rsidR="00034C6C" w:rsidRPr="00FC263A">
        <w:rPr>
          <w:rFonts w:cstheme="minorHAnsi"/>
        </w:rPr>
        <w:t xml:space="preserve">- </w:t>
      </w:r>
      <w:r w:rsidRPr="00FC263A">
        <w:rPr>
          <w:rFonts w:cstheme="minorHAnsi"/>
        </w:rPr>
        <w:t xml:space="preserve">co najmniej </w:t>
      </w:r>
      <w:r w:rsidR="00034C6C" w:rsidRPr="00FC263A">
        <w:rPr>
          <w:rFonts w:cstheme="minorHAnsi"/>
        </w:rPr>
        <w:t>360</w:t>
      </w:r>
      <w:r w:rsidRPr="00FC263A">
        <w:rPr>
          <w:rFonts w:cstheme="minorHAnsi"/>
        </w:rPr>
        <w:t xml:space="preserve"> miesięcy</w:t>
      </w:r>
      <w:r w:rsidR="00034C6C" w:rsidRPr="00FC263A">
        <w:rPr>
          <w:rFonts w:cstheme="minorHAnsi"/>
        </w:rPr>
        <w:t>,</w:t>
      </w:r>
      <w:r w:rsidRPr="00FC263A">
        <w:rPr>
          <w:rFonts w:cstheme="minorHAnsi"/>
        </w:rPr>
        <w:t xml:space="preserve"> po tym czasie moc modułu nie mniej niż 84,8% mocy początkowej</w:t>
      </w:r>
    </w:p>
    <w:p w14:paraId="6053D851" w14:textId="0A436021" w:rsidR="00D94187" w:rsidRPr="00FC263A" w:rsidRDefault="009A487B">
      <w:pPr>
        <w:spacing w:after="0"/>
        <w:rPr>
          <w:rFonts w:cstheme="minorHAnsi"/>
        </w:rPr>
      </w:pPr>
      <w:r w:rsidRPr="00FC263A">
        <w:rPr>
          <w:rFonts w:cstheme="minorHAnsi"/>
        </w:rPr>
        <w:t xml:space="preserve">Gwarancja na inwerter (falownik) </w:t>
      </w:r>
      <w:r w:rsidR="00034C6C" w:rsidRPr="00FC263A">
        <w:rPr>
          <w:rFonts w:cstheme="minorHAnsi"/>
        </w:rPr>
        <w:t>m</w:t>
      </w:r>
      <w:r w:rsidRPr="00FC263A">
        <w:rPr>
          <w:rFonts w:cstheme="minorHAnsi"/>
        </w:rPr>
        <w:t xml:space="preserve">in. </w:t>
      </w:r>
      <w:r w:rsidR="00034C6C" w:rsidRPr="00FC263A">
        <w:rPr>
          <w:rFonts w:cstheme="minorHAnsi"/>
        </w:rPr>
        <w:t>144 miesięcy</w:t>
      </w:r>
      <w:r w:rsidRPr="00FC263A">
        <w:rPr>
          <w:rFonts w:cstheme="minorHAnsi"/>
        </w:rPr>
        <w:t xml:space="preserve"> – </w:t>
      </w:r>
      <w:r w:rsidRPr="00FC263A">
        <w:rPr>
          <w:rFonts w:cstheme="minorHAnsi"/>
          <w:b/>
          <w:bCs/>
        </w:rPr>
        <w:t>kryterium oceny ofert</w:t>
      </w:r>
    </w:p>
    <w:p w14:paraId="3EC72248" w14:textId="77777777" w:rsidR="00D94187" w:rsidRPr="00FC263A" w:rsidRDefault="00D94187">
      <w:pPr>
        <w:spacing w:after="120"/>
        <w:rPr>
          <w:rFonts w:cstheme="minorHAnsi"/>
        </w:rPr>
      </w:pPr>
    </w:p>
    <w:sectPr w:rsidR="00D94187" w:rsidRPr="00FC263A">
      <w:headerReference w:type="default" r:id="rId7"/>
      <w:pgSz w:w="11906" w:h="16838"/>
      <w:pgMar w:top="1660" w:right="1300" w:bottom="280" w:left="1300" w:header="854" w:footer="0" w:gutter="0"/>
      <w:pgNumType w:start="1"/>
      <w:cols w:space="708"/>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4CF6E" w14:textId="77777777" w:rsidR="009A487B" w:rsidRDefault="009A487B">
      <w:pPr>
        <w:spacing w:after="0" w:line="240" w:lineRule="auto"/>
      </w:pPr>
      <w:r>
        <w:separator/>
      </w:r>
    </w:p>
  </w:endnote>
  <w:endnote w:type="continuationSeparator" w:id="0">
    <w:p w14:paraId="5850A33B" w14:textId="77777777" w:rsidR="009A487B" w:rsidRDefault="009A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00C4" w14:textId="77777777" w:rsidR="009A487B" w:rsidRDefault="009A487B">
      <w:pPr>
        <w:spacing w:after="0" w:line="240" w:lineRule="auto"/>
      </w:pPr>
      <w:r>
        <w:separator/>
      </w:r>
    </w:p>
  </w:footnote>
  <w:footnote w:type="continuationSeparator" w:id="0">
    <w:p w14:paraId="28598B1F" w14:textId="77777777" w:rsidR="009A487B" w:rsidRDefault="009A4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A079" w14:textId="77777777" w:rsidR="00D94187" w:rsidRDefault="009A487B">
    <w:pPr>
      <w:pStyle w:val="Tekstpodstawowy"/>
      <w:spacing w:line="2" w:lineRule="auto"/>
      <w:ind w:left="0"/>
      <w:rPr>
        <w:sz w:val="20"/>
      </w:rPr>
    </w:pPr>
    <w:r>
      <w:rPr>
        <w:noProof/>
        <w:sz w:val="20"/>
      </w:rPr>
      <w:drawing>
        <wp:anchor distT="0" distB="0" distL="0" distR="0" simplePos="0" relativeHeight="7" behindDoc="1" locked="0" layoutInCell="0" allowOverlap="1" wp14:anchorId="1F6B536C" wp14:editId="736C226F">
          <wp:simplePos x="0" y="0"/>
          <wp:positionH relativeFrom="page">
            <wp:posOffset>941705</wp:posOffset>
          </wp:positionH>
          <wp:positionV relativeFrom="page">
            <wp:posOffset>542290</wp:posOffset>
          </wp:positionV>
          <wp:extent cx="5662930" cy="3962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5662930" cy="396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6D47"/>
    <w:multiLevelType w:val="multilevel"/>
    <w:tmpl w:val="00F89F94"/>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 w15:restartNumberingAfterBreak="0">
    <w:nsid w:val="171F41D2"/>
    <w:multiLevelType w:val="multilevel"/>
    <w:tmpl w:val="93023612"/>
    <w:lvl w:ilvl="0">
      <w:start w:val="1"/>
      <w:numFmt w:val="bullet"/>
      <w:lvlText w:val=""/>
      <w:lvlJc w:val="left"/>
      <w:pPr>
        <w:tabs>
          <w:tab w:val="num" w:pos="0"/>
        </w:tabs>
        <w:ind w:left="1854" w:hanging="360"/>
      </w:pPr>
      <w:rPr>
        <w:rFonts w:ascii="Symbol" w:hAnsi="Symbol" w:cs="Symbol" w:hint="default"/>
      </w:rPr>
    </w:lvl>
    <w:lvl w:ilvl="1">
      <w:start w:val="1"/>
      <w:numFmt w:val="bullet"/>
      <w:lvlText w:val=""/>
      <w:lvlJc w:val="left"/>
      <w:pPr>
        <w:tabs>
          <w:tab w:val="num" w:pos="0"/>
        </w:tabs>
        <w:ind w:left="2574" w:hanging="360"/>
      </w:pPr>
      <w:rPr>
        <w:rFonts w:ascii="Symbol" w:hAnsi="Symbol" w:cs="Symbol"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2" w15:restartNumberingAfterBreak="0">
    <w:nsid w:val="2E3D1AD9"/>
    <w:multiLevelType w:val="hybridMultilevel"/>
    <w:tmpl w:val="2D684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8F3585"/>
    <w:multiLevelType w:val="multilevel"/>
    <w:tmpl w:val="FB0471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2491B7E"/>
    <w:multiLevelType w:val="multilevel"/>
    <w:tmpl w:val="E8443FB0"/>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 w15:restartNumberingAfterBreak="0">
    <w:nsid w:val="54CC5262"/>
    <w:multiLevelType w:val="multilevel"/>
    <w:tmpl w:val="6E08A9EC"/>
    <w:lvl w:ilvl="0">
      <w:start w:val="1"/>
      <w:numFmt w:val="decimal"/>
      <w:pStyle w:val="IIIpoziom"/>
      <w:lvlText w:val="%1)"/>
      <w:lvlJc w:val="left"/>
      <w:pPr>
        <w:tabs>
          <w:tab w:val="num" w:pos="360"/>
        </w:tabs>
        <w:ind w:left="360" w:hanging="360"/>
      </w:pPr>
      <w:rPr>
        <w:rFonts w:ascii="Calibri" w:eastAsia="Times New Roman" w:hAnsi="Calibri" w:cs="Times New Roman"/>
        <w:color w:val="auto"/>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A2A0A8D"/>
    <w:multiLevelType w:val="multilevel"/>
    <w:tmpl w:val="0C4293BA"/>
    <w:lvl w:ilvl="0">
      <w:start w:val="1"/>
      <w:numFmt w:val="decimal"/>
      <w:lvlText w:val="%1."/>
      <w:lvlJc w:val="left"/>
      <w:pPr>
        <w:tabs>
          <w:tab w:val="num" w:pos="0"/>
        </w:tabs>
        <w:ind w:left="360" w:hanging="360"/>
      </w:pPr>
      <w:rPr>
        <w:rFonts w:ascii="Calibri" w:hAnsi="Calibri" w:cs="Calibri"/>
        <w:b/>
        <w:color w:val="auto"/>
        <w:sz w:val="24"/>
        <w:szCs w:val="24"/>
      </w:rPr>
    </w:lvl>
    <w:lvl w:ilvl="1">
      <w:start w:val="1"/>
      <w:numFmt w:val="decimal"/>
      <w:lvlText w:val="%1.%2."/>
      <w:lvlJc w:val="left"/>
      <w:pPr>
        <w:tabs>
          <w:tab w:val="num" w:pos="0"/>
        </w:tabs>
        <w:ind w:left="720" w:hanging="720"/>
      </w:pPr>
      <w:rPr>
        <w:b/>
        <w:i w:val="0"/>
        <w:color w:val="auto"/>
        <w:sz w:val="22"/>
        <w:szCs w:val="22"/>
      </w:rPr>
    </w:lvl>
    <w:lvl w:ilvl="2">
      <w:start w:val="1"/>
      <w:numFmt w:val="decimal"/>
      <w:lvlText w:val="%1.%2.%3."/>
      <w:lvlJc w:val="left"/>
      <w:pPr>
        <w:tabs>
          <w:tab w:val="num" w:pos="0"/>
        </w:tabs>
        <w:ind w:left="720" w:hanging="720"/>
      </w:pPr>
      <w:rPr>
        <w:b/>
        <w:sz w:val="24"/>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 w15:restartNumberingAfterBreak="0">
    <w:nsid w:val="72D1134C"/>
    <w:multiLevelType w:val="multilevel"/>
    <w:tmpl w:val="EB221CE2"/>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8" w15:restartNumberingAfterBreak="0">
    <w:nsid w:val="75882C21"/>
    <w:multiLevelType w:val="multilevel"/>
    <w:tmpl w:val="45D44FCC"/>
    <w:lvl w:ilvl="0">
      <w:start w:val="1"/>
      <w:numFmt w:val="bullet"/>
      <w:lvlText w:val=""/>
      <w:lvlJc w:val="left"/>
      <w:pPr>
        <w:tabs>
          <w:tab w:val="num" w:pos="0"/>
        </w:tabs>
        <w:ind w:left="1854" w:hanging="360"/>
      </w:pPr>
      <w:rPr>
        <w:rFonts w:ascii="Symbol" w:hAnsi="Symbol" w:cs="Symbol" w:hint="default"/>
      </w:rPr>
    </w:lvl>
    <w:lvl w:ilvl="1">
      <w:start w:val="1"/>
      <w:numFmt w:val="bullet"/>
      <w:lvlText w:val=""/>
      <w:lvlJc w:val="left"/>
      <w:pPr>
        <w:tabs>
          <w:tab w:val="num" w:pos="0"/>
        </w:tabs>
        <w:ind w:left="2574" w:hanging="360"/>
      </w:pPr>
      <w:rPr>
        <w:rFonts w:ascii="Symbol" w:hAnsi="Symbol" w:cs="Symbol"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num w:numId="1" w16cid:durableId="1526091616">
    <w:abstractNumId w:val="5"/>
  </w:num>
  <w:num w:numId="2" w16cid:durableId="56828959">
    <w:abstractNumId w:val="6"/>
  </w:num>
  <w:num w:numId="3" w16cid:durableId="567418093">
    <w:abstractNumId w:val="4"/>
  </w:num>
  <w:num w:numId="4" w16cid:durableId="1789665299">
    <w:abstractNumId w:val="7"/>
  </w:num>
  <w:num w:numId="5" w16cid:durableId="166334704">
    <w:abstractNumId w:val="1"/>
  </w:num>
  <w:num w:numId="6" w16cid:durableId="847452507">
    <w:abstractNumId w:val="8"/>
  </w:num>
  <w:num w:numId="7" w16cid:durableId="428278383">
    <w:abstractNumId w:val="0"/>
  </w:num>
  <w:num w:numId="8" w16cid:durableId="137500303">
    <w:abstractNumId w:val="3"/>
  </w:num>
  <w:num w:numId="9" w16cid:durableId="1114061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87"/>
    <w:rsid w:val="00034C6C"/>
    <w:rsid w:val="002B2C71"/>
    <w:rsid w:val="00477976"/>
    <w:rsid w:val="004B27AC"/>
    <w:rsid w:val="006E6903"/>
    <w:rsid w:val="009A487B"/>
    <w:rsid w:val="00C53002"/>
    <w:rsid w:val="00D94187"/>
    <w:rsid w:val="00E15D00"/>
    <w:rsid w:val="00E65077"/>
    <w:rsid w:val="00FC26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0AB1"/>
  <w15:docId w15:val="{FF8B7EF1-0557-430E-B0DD-9F9BCC22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link w:val="Nagwek1Znak"/>
    <w:uiPriority w:val="9"/>
    <w:qFormat/>
    <w:rsid w:val="00297547"/>
    <w:pPr>
      <w:widowControl w:val="0"/>
      <w:spacing w:after="0" w:line="240" w:lineRule="auto"/>
      <w:ind w:left="116"/>
      <w:jc w:val="both"/>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1B46F5"/>
    <w:rPr>
      <w:color w:val="0000FF"/>
      <w:u w:val="single"/>
    </w:rPr>
  </w:style>
  <w:style w:type="character" w:customStyle="1" w:styleId="AkapitzlistZnak">
    <w:name w:val="Akapit z listą Znak"/>
    <w:link w:val="Akapitzlist"/>
    <w:uiPriority w:val="34"/>
    <w:qFormat/>
    <w:locked/>
    <w:rsid w:val="00431D7A"/>
    <w:rPr>
      <w:rFonts w:ascii="Times New Roman" w:eastAsia="Times New Roman" w:hAnsi="Times New Roman" w:cs="Times New Roman"/>
      <w:sz w:val="24"/>
      <w:szCs w:val="24"/>
    </w:rPr>
  </w:style>
  <w:style w:type="character" w:customStyle="1" w:styleId="TekstdymkaZnak">
    <w:name w:val="Tekst dymka Znak"/>
    <w:basedOn w:val="Domylnaczcionkaakapitu"/>
    <w:link w:val="Tekstdymka"/>
    <w:uiPriority w:val="99"/>
    <w:semiHidden/>
    <w:qFormat/>
    <w:rsid w:val="001B7287"/>
    <w:rPr>
      <w:rFonts w:ascii="Segoe UI" w:hAnsi="Segoe UI" w:cs="Segoe UI"/>
      <w:sz w:val="18"/>
      <w:szCs w:val="18"/>
    </w:rPr>
  </w:style>
  <w:style w:type="character" w:customStyle="1" w:styleId="markedcontent">
    <w:name w:val="markedcontent"/>
    <w:basedOn w:val="Domylnaczcionkaakapitu"/>
    <w:qFormat/>
    <w:rsid w:val="004E5CAA"/>
  </w:style>
  <w:style w:type="character" w:styleId="Nierozpoznanawzmianka">
    <w:name w:val="Unresolved Mention"/>
    <w:basedOn w:val="Domylnaczcionkaakapitu"/>
    <w:uiPriority w:val="99"/>
    <w:semiHidden/>
    <w:unhideWhenUsed/>
    <w:qFormat/>
    <w:rsid w:val="00535083"/>
    <w:rPr>
      <w:color w:val="605E5C"/>
      <w:shd w:val="clear" w:color="auto" w:fill="E1DFDD"/>
    </w:rPr>
  </w:style>
  <w:style w:type="character" w:customStyle="1" w:styleId="Nagwek1Znak">
    <w:name w:val="Nagłówek 1 Znak"/>
    <w:basedOn w:val="Domylnaczcionkaakapitu"/>
    <w:link w:val="Nagwek1"/>
    <w:uiPriority w:val="9"/>
    <w:qFormat/>
    <w:rsid w:val="00297547"/>
    <w:rPr>
      <w:rFonts w:ascii="Times New Roman" w:eastAsia="Times New Roman" w:hAnsi="Times New Roman" w:cs="Times New Roman"/>
      <w:b/>
      <w:bCs/>
      <w:sz w:val="24"/>
      <w:szCs w:val="24"/>
    </w:rPr>
  </w:style>
  <w:style w:type="character" w:customStyle="1" w:styleId="TekstpodstawowyZnak">
    <w:name w:val="Tekst podstawowy Znak"/>
    <w:basedOn w:val="Domylnaczcionkaakapitu"/>
    <w:link w:val="Tekstpodstawowy"/>
    <w:uiPriority w:val="1"/>
    <w:qFormat/>
    <w:rsid w:val="00297547"/>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qFormat/>
    <w:rsid w:val="00C3757F"/>
    <w:rPr>
      <w:sz w:val="16"/>
      <w:szCs w:val="16"/>
    </w:rPr>
  </w:style>
  <w:style w:type="character" w:customStyle="1" w:styleId="TekstkomentarzaZnak">
    <w:name w:val="Tekst komentarza Znak"/>
    <w:basedOn w:val="Domylnaczcionkaakapitu"/>
    <w:link w:val="Tekstkomentarza"/>
    <w:uiPriority w:val="99"/>
    <w:qFormat/>
    <w:rsid w:val="00C3757F"/>
    <w:rPr>
      <w:sz w:val="20"/>
      <w:szCs w:val="20"/>
    </w:rPr>
  </w:style>
  <w:style w:type="character" w:customStyle="1" w:styleId="TematkomentarzaZnak">
    <w:name w:val="Temat komentarza Znak"/>
    <w:basedOn w:val="TekstkomentarzaZnak"/>
    <w:link w:val="Tematkomentarza"/>
    <w:uiPriority w:val="99"/>
    <w:semiHidden/>
    <w:qFormat/>
    <w:rsid w:val="00C3757F"/>
    <w:rPr>
      <w:b/>
      <w:bCs/>
      <w:sz w:val="20"/>
      <w:szCs w:val="20"/>
    </w:rPr>
  </w:style>
  <w:style w:type="paragraph" w:styleId="Nagwek">
    <w:name w:val="header"/>
    <w:basedOn w:val="Gwkaistopka"/>
    <w:next w:val="Tekstpodstawowy"/>
  </w:style>
  <w:style w:type="paragraph" w:styleId="Tekstpodstawowy">
    <w:name w:val="Body Text"/>
    <w:basedOn w:val="Normalny"/>
    <w:link w:val="TekstpodstawowyZnak"/>
    <w:uiPriority w:val="1"/>
    <w:qFormat/>
    <w:rsid w:val="00297547"/>
    <w:pPr>
      <w:widowControl w:val="0"/>
      <w:spacing w:after="0" w:line="240" w:lineRule="auto"/>
      <w:ind w:left="116"/>
    </w:pPr>
    <w:rPr>
      <w:rFonts w:ascii="Times New Roman" w:eastAsia="Times New Roman" w:hAnsi="Times New Roman" w:cs="Times New Roman"/>
      <w:sz w:val="24"/>
      <w:szCs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NormalnyWeb">
    <w:name w:val="Normal (Web)"/>
    <w:basedOn w:val="Normalny"/>
    <w:uiPriority w:val="99"/>
    <w:unhideWhenUsed/>
    <w:qFormat/>
    <w:rsid w:val="001B46F5"/>
    <w:pPr>
      <w:spacing w:beforeAutospacing="1" w:afterAutospacing="1" w:line="240" w:lineRule="auto"/>
    </w:pPr>
    <w:rPr>
      <w:rFonts w:ascii="Calibri" w:hAnsi="Calibri" w:cs="Calibri"/>
      <w:lang w:eastAsia="pl-PL"/>
    </w:rPr>
  </w:style>
  <w:style w:type="paragraph" w:styleId="Akapitzlist">
    <w:name w:val="List Paragraph"/>
    <w:basedOn w:val="Normalny"/>
    <w:link w:val="AkapitzlistZnak"/>
    <w:uiPriority w:val="1"/>
    <w:qFormat/>
    <w:rsid w:val="00431D7A"/>
    <w:pPr>
      <w:spacing w:after="0" w:line="240" w:lineRule="auto"/>
      <w:ind w:left="720"/>
      <w:contextualSpacing/>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unhideWhenUsed/>
    <w:qFormat/>
    <w:rsid w:val="001B7287"/>
    <w:pPr>
      <w:spacing w:after="0" w:line="240" w:lineRule="auto"/>
    </w:pPr>
    <w:rPr>
      <w:rFonts w:ascii="Segoe UI" w:hAnsi="Segoe UI" w:cs="Segoe UI"/>
      <w:sz w:val="18"/>
      <w:szCs w:val="18"/>
    </w:rPr>
  </w:style>
  <w:style w:type="paragraph" w:customStyle="1" w:styleId="IIIpoziom">
    <w:name w:val="III poziom"/>
    <w:basedOn w:val="Akapitzlist"/>
    <w:qFormat/>
    <w:rsid w:val="004E5CAA"/>
    <w:pPr>
      <w:numPr>
        <w:numId w:val="1"/>
      </w:numPr>
      <w:spacing w:line="312" w:lineRule="auto"/>
      <w:ind w:left="720" w:firstLine="0"/>
      <w:jc w:val="both"/>
    </w:pPr>
    <w:rPr>
      <w:rFonts w:ascii="Verdana" w:eastAsiaTheme="minorHAnsi" w:hAnsi="Verdana" w:cs="Calibri"/>
      <w:sz w:val="16"/>
      <w:lang w:eastAsia="ar-SA"/>
    </w:rPr>
  </w:style>
  <w:style w:type="paragraph" w:customStyle="1" w:styleId="v1msolistparagraph">
    <w:name w:val="v1msolistparagraph"/>
    <w:basedOn w:val="Normalny"/>
    <w:qFormat/>
    <w:rsid w:val="00307C48"/>
    <w:pPr>
      <w:spacing w:beforeAutospacing="1"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unhideWhenUsed/>
    <w:qFormat/>
    <w:rsid w:val="00C3757F"/>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C3757F"/>
    <w:rPr>
      <w:b/>
      <w:bCs/>
    </w:rPr>
  </w:style>
  <w:style w:type="table" w:styleId="Tabela-Siatka">
    <w:name w:val="Table Grid"/>
    <w:basedOn w:val="Standardowy"/>
    <w:uiPriority w:val="59"/>
    <w:rsid w:val="00CA0AD1"/>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C37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2253</Words>
  <Characters>13522</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Makowski</dc:creator>
  <dc:description/>
  <cp:lastModifiedBy>User</cp:lastModifiedBy>
  <cp:revision>11</cp:revision>
  <cp:lastPrinted>2023-02-16T12:14:00Z</cp:lastPrinted>
  <dcterms:created xsi:type="dcterms:W3CDTF">2023-09-26T10:44:00Z</dcterms:created>
  <dcterms:modified xsi:type="dcterms:W3CDTF">2023-10-05T08:02:00Z</dcterms:modified>
  <dc:language>pl-PL</dc:language>
</cp:coreProperties>
</file>