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851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Łódź, 27.09.2023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ZAPYTANIE OFERTOWE NR ZO/53/2023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357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Zapraszamy wszystkie podmioty spełniające określone poniżej warunki, do składania ofert na przeprowadzenie programu badań przedklinicznych dla kandydat na lek związku FLC-436.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Zapytanie prowadzone jest: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związku z realizacją przez Zamawiającego projektu pt. „Opracowanie nowego terapeutyku o działaniu przeciwnowotworowym o wysokiej aktywności i selektywności w porównaniu do obecnie stosowanych leków cytostatycznych” /POIR.01.01.01-00-0906/19 w ramach Działania 1.1. Projekty B+R przedsiębiorstw, Poddziałanie 1.1.1 Badania przemysłowe i prace rozwojowe realizowane przez przedsiębiorstwa, współfinansowanego ze środków Europejskiego Funduszu Rozwoju Regionalnego.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zgodnie z zasadą konkurencyjności i nie stanowi przedmiotu zamówienia publicznego regulowanego ustawą z dnia 11 września 2019 r. „Prawo zamówień publicznych".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</w:t>
      </w:r>
    </w:p>
    <w:p w:rsidR="00000000" w:rsidDel="00000000" w:rsidP="00000000" w:rsidRDefault="00000000" w:rsidRPr="00000000" w14:paraId="00000010">
      <w:pPr>
        <w:jc w:val="both"/>
        <w:rPr>
          <w:b w:val="1"/>
        </w:rPr>
        <w:sectPr>
          <w:headerReference r:id="rId8" w:type="default"/>
          <w:footerReference r:id="rId9" w:type="default"/>
          <w:pgSz w:h="16838" w:w="11906" w:orient="portrait"/>
          <w:pgMar w:bottom="851" w:top="1417" w:left="1418" w:right="1418" w:header="425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</w:t>
        <w:tab/>
        <w:t xml:space="preserve">FiLeClo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ab/>
        <w:t xml:space="preserve">al. Piłsudskiego 141,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b w:val="1"/>
          <w:rtl w:val="0"/>
        </w:rPr>
        <w:tab/>
        <w:t xml:space="preserve">92-318 Łódź, Poland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Kontakt: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Przemysław Pilaszek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color w:val="0563c1"/>
          <w:u w:val="single"/>
          <w:rtl w:val="0"/>
        </w:rPr>
        <w:t xml:space="preserve">pilaszek@trimen.pl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  <w:sectPr>
          <w:type w:val="continuous"/>
          <w:pgSz w:h="16838" w:w="11906" w:orient="portrait"/>
          <w:pgMar w:bottom="851" w:top="1417" w:left="1418" w:right="1418" w:header="425" w:footer="709"/>
          <w:cols w:equalWidth="0" w:num="2">
            <w:col w:space="708" w:w="4181"/>
            <w:col w:space="0" w:w="4181"/>
          </w:cols>
        </w:sectPr>
      </w:pPr>
      <w:r w:rsidDel="00000000" w:rsidR="00000000" w:rsidRPr="00000000">
        <w:rPr>
          <w:rtl w:val="0"/>
        </w:rPr>
        <w:t xml:space="preserve">tel. +48 602 306 668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OPIS PRZEDMIOTU ZAMÓWIENIA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Wspólny słownik zamówień (CPV): 73111000-3 – laboratoryjne usługi badawcze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Informacje ogólne: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Przedmiotem zamówienia jest wykonanie programu badań przedklinicznych do oceny bezpieczeństwa kandydata na lek FLC-436.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FileClo Sp. z o.o. rozwija niskocząsteczkowy związek FLC-436 jako nowy lek przeciwnowotworowy o wysokiej aktywności i selektywności w porównaniu z obecnymi na rynku lekami cytostatycznymi.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Załącznik 4  – Pakiet Informacji Technicznych (PIT) zawiera informacje o projektach poszczególnych badań oraz MSDS związku FLC-436. Załącznik PIT zostanie udostępniony Oferentom, którzy wyrażą zainteresowanie udziałem w przetargu i prześlą skan podpisanej umowy o zachowaniu poufności  lub podpisaną elektronicznie umowę o zachowaniu poufności (Załącznik nr 3) do Przemysława Pilaszka (pilaszek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vertAlign w:val="baseline"/>
          <w:rtl w:val="0"/>
        </w:rPr>
        <w:t xml:space="preserve">@trimen.pl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). W przypadku przesłania skanu podpisanej umowy o zachowaniu poufności, Oferent zobowiązany jest przesłać oryginał podpisanego dokumentu na adres FiLeClo Sp. z o.o., al. Piłsudskiego 141, 92-318 Łódź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Załącznik PIT zostanie udostępniony zainteresowanym Oferentom w ciągu 48 godzin od otrzymania skanu podpisanego Załącznika nr 3.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przypadku, gdy Oferent podpisa</w:t>
      </w:r>
      <w:r w:rsidDel="00000000" w:rsidR="00000000" w:rsidRPr="00000000">
        <w:rPr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umowę o zachowaniu poufności na etapie badania rynku, a umowa jest nadal aktualna, przesłanie skanu podpisanej umowy o zachowaniu poufności nie jest wymagane. Pakiet Informacji Technicznych zostanie udostępniony po wyrażeniu przez Oferenta zainteresowania udziałem w postępowaniu nr. ZO/53/2023.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Zamówienie obejmuje: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Badania toksykologiczne i ocena bezpieczeństwa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Wstępne badanie toksykologiczne MTD/DRF, określające maksymalną tolerowaną dawkę badanego związku (MTD), 7-dniowe dla fazy DRF, podanie za pomocą infuzji ciągłej (2h), szczur (Wistar), non-GLP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Wstępne badanie toksykologiczne MTD/DRF, określające maksymalną tolerowaną dawkę badanego związku (MTD), 7-dniowe dla fazy DRF, podanie za pomocą infuzji ciągłej (2h), pies (Beagle), non-GLP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Badanie toksykologiczne po podaniu wielokrotnym (28 dni) wraz z 14 dniowym okresem rekonwalescencji oraz toksykokinetyką i badaniem wpływu na centralny układ nerwowy, szczur (Wistar), GLP, podanie za pomocą infuzji ciągłej (2h)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Badanie toksykologiczne po podaniu wielokrotnym (28 dni) wraz z 14 dniowym okresem rekonwalescencji oraz toksykokinetyką i badaniem wpływu na układ krążenia i układ oddechowy, pies (Beagle), GLP, podanie za pomocą infuzji ciągłej (2h)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Badania in vitro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Ocena hemokompatybliności (pełna ludzka krew)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Analiza formulacji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Optymalizacja/rozwój metody analitycznej do oznaczania stężenia substancji badanej (FLC-436) w formulacji przeznaczonej do badań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Walidacja metody analitycznej do oznaczania stężenia substancji badanej (FLC-436) w formulacji przeznaczonej do badań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Bioanaliza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Optymalizacja/Rozwój metody bioanalitycznej do oznaczania substancji badanej (FLC-436) w osoczu szczura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Walidacja metody bioanalitycznej do oznaczania stężenia substancji badanej  (FLC-436) w osoczu szczura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Optymalizacja/Rozwój metody bioanalitycznej do oznaczania stężenia substancji badanej (FLC-436) w psim osoczu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Walidacja metody bioanalitycznej do oznaczania stężenia substancji badanej (FLC-436) w psim osoczu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Zarządzanie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projektem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Od Wykonawcy wymaga się: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Wykonania zlecenie jako kompleksowej usługi badawczą.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Oddelegowania do realizacji projektu zespołu specjalistów posiadających niezbędną wiedzę i udokumentowane doświadczenie w realizacji analogicznych projektów.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Organizowania regularnych spotkań projektowych w celu omawiania postępu projektu (częstotliwość: przynajmniej co dwa tygodnie).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Przygotowania dokumentacji projektowej w języku angielskim.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Przygotowanie dokumentacji obejmuje: protokołów i raportów (nieaudytowane i audytowane) z przeprowadzonych badań (projekty dokumentów będą przesyłane do Zamawiającego celem weryfikacji i zatwierdzenie). Projekty raportów powinny zawierać wszystkie istotne dane badawcze i raporty powiązane. Raporty końcowy powinny zawierać tekst, tabele podsumowujące oraz raporty powiązane. Raporty końcowe powinny być wydane w formie plików pdf, z możliwością przeszukiwania tekstu, z hiperłączami i zakładkami.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Przygotowanie dokumentacji obejmuje również dostarczenie tabelarycznych streszczeń każdego badania (format CTD) w postaci plików word oraz pdf.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stosownych przypadkach należy również dostarczyć zestawy danych SEND.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Wyrażenia zgody na przeprowadzenie audytu przed podpisaniem umowy na realizację zamówienia. W razie negatywnego wyniku audytu tj. stwierdzenia krytycznych niezgodności, Zamawiający zastrzega sobie możliwość odstąpienia od zawarcia umowy z Wykonawcą.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 potrzeby realizacji zamówienia Zamawiający dostarczy Wykonawcy: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Substancję badaną wraz certyfikatem analitycznym (FLC-436)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Standard wewnętrzny wraz z certyfikatem analitycznym (FLC-001)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Wzorzec substancji badanej (FLC-436) wraz z certyfikatem analitycznym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Procedurę analityczną stosowaną do oznaczania substancji badanej FLC-436 w mysim osoczu za pomocą techniki LC/MS/MS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Procedurę przygotowanie formulacji podania FLC-436 w infuzji ciągłej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Procedurę analityczną stosowaną do oznaczania stężenia substancji badanej FLC-436 w próbkach formulacji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MSDS FLC-436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Termin realizacji zamówienia: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Termin składania ofert: </w:t>
        <w:tab/>
        <w:tab/>
        <w:tab/>
        <w:tab/>
        <w:tab/>
        <w:t xml:space="preserve">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.10.2023 r.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Planowany termin podpisania umowy i złożenia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zamówienia: </w:t>
        <w:tab/>
        <w:tab/>
        <w:tab/>
        <w:tab/>
        <w:tab/>
        <w:tab/>
        <w:t xml:space="preserve">listopad 2023 r.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Dostarczenie kompletnej dokumentacji projektowej</w:t>
        <w:tab/>
        <w:t xml:space="preserve">maj 2024 r.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ramach niniejszego zapytania ofertowego Zamawiający nie dopuszcza możliwości składania ofert częściowych.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WARUNKI UDZIAŁU W KONKURSIE ORAZ OPIS DOKONANIA OCENY ICH SPEŁNIENIA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Zapytanie ofertowe dotyczy potencjalnych Wykonawców (Usługodawców) prowadzących działalność zgodną z opisem przedmiotu zamówienia tj. jednostki specjalizujące się w kontraktowym, profesjonalnej realizacji programów badań przedklinicznych dla podmiotów trzecich.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udzielenie zamówienie mogą się ubiegać Wykonawcy (Usługodawcy), którzy: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zaoferują realizację usługi zgodną z zapytaniem ofertowym nr ZO/53/2023 i informacjami przedstawionymi w Załączniku PIT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posiadają certyfikat Dobrej Praktyki Laboratoryjnej (GLP) wydany przez właściwe organy krajowe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udowodni, że podczas inspekcji nie stwierdzono krytycznych niezgodności i przedstawią w tym celu historię inspekcji z ostatnich 5 lat (2018-2022)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zapewniają dobrostan zwierząt zgodnie z dyrektywą UE 2010/63/UE i posiadają aktualną akredytację AAALAC (AAALAC: Association for Assessment and Accreditation of Laboratory Animal Care International)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posiadają niezbędną wiedzę i doświadczenie, dysponują odpowiednim potencjałem technicznym i osobami zdolnymi do wykonania zamówienia;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znajdują się w sytuacji ekonomicznej i finansowej, która pozwala na należyte wykonanie zamówienia;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dążyć będą do realizacji zamówienia w sposób korzystny dla środowiska, poprzez zapewnienie minimalizacji zużycia materiałów, surowców, energii, itp.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Ocena spełnienia ww. warunków zostanie dokonana w oparciu o oświadczenie zawarte w formularzu ofertowym przygotowywanym i podpisywanym przez Wykonawcę (zał. nr 1).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celu weryfikacji przez Zamawiającego uprawnień Wykonawcy do realizacji projektu do Oferty należy załączyć kopię certyfikatu Dobrej Praktyki Laboratoryjnej (GLP), historię inspekcji (inspekcję OECD GLP i inspekcje FDA) z ostatnich 5 lat (2018-2022), kopię aktualnej akredytacji AAALAC.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zastrzega sobie prawo do zażądania o kopie wybranych dokumentów wystawionych przez organy regulacyjne po inspekcjach, które odbyły się w okresie styczeń 2018 – grudzień 2022. Jeżeli kopie ww. dokumentów nie zostaną przekazane Zamawiającemu w terminie 10 dni od dnia przesłania pisemne żądanie ich udostępnienia, oferta zostanie uznana za nieważną.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Wykluczeniu z postępowania podlega: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Wykonawcy (Usługodawcy) powiązany z Zamawiającym osobowo lub kapitałowo. 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Wykonawcy a Wykonawcą polegające w szczególności na: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posiadaniu co najmniej 10 % udziałów lub akcji;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celu udokumentowania braku podstaw do wykluczenia Dostawca załączy do oferty Oświadczenie o braku podstaw do wykluczenia z postępowania z powodu występowania powiązań osobowych lub kapitałowych (zał. nr 2).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podmioty,  które  w  wyniku  zamierzonego  działania  lub  rażącego  niedbalstwa wprowadził  Zamawiającego  w  błąd  przy  przedstawieniu  informacji,  że  nie  podlega wykluczeniu lub który zataił te informacje lub nie jest w stanie przedstawić wymaganych dokumentów;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podmioty,  które  w  wyniku  lekkomyślności  lub  niedbalstwa  przedstawił informacje  wprowadzające  w  błąd  Zamawiającego,  mogące  mieć  istotny  wpływ  na decyzje  podejmowane  przez  Zamawiającego  w  postępowaniu  o  udzielenie zamówienia;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podmioty,  które  z  innymi  oferentami zawarł  porozumienie  mające  na  celu zakłócenie  konkurencji  między  oferentami w  postępowaniu  o  udzielenie zamówienia, co Zamawiający jest w stanie wykazać za pomocą stosownych środków dowodowych;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podmioty, które w sposób zawiniony poważnie naruszył obowiązki zawodowe, co podważa jego uczciwość, w szczególności, gdy podmiot w wyniku zamierzonego działania  lub  rażącego  niedbalstwa  nie  wykonał  lub  nienależycie  wykonał zamówienie, co Zamawiający jest w stanie wykazać za pomocą stosownych środków dowodowych.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Ofertę podmiotu wykluczonego uznaje się za odrzuconą.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może wykluczyć podmiot na  każdym etapie postępowania o udzielenie zamówienia.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Złożenie oferty jest jednoznaczne z zaakceptowaniem bez zastrzeżeń treści niniejszego zapytania ofertowego.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KRYTERIA OCENY OFERT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Cena – Waga: 100% (100 pkt)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W kryterium „Cena” punkty zostaną przyznane (z dokładnością do dwóch miejsc po przecinku) zgodnie ze wzorem: </w:t>
      </w:r>
    </w:p>
    <w:p w:rsidR="00000000" w:rsidDel="00000000" w:rsidP="00000000" w:rsidRDefault="00000000" w:rsidRPr="00000000" w14:paraId="00000077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c </w:t>
      </w:r>
      <w:r w:rsidDel="00000000" w:rsidR="00000000" w:rsidRPr="00000000">
        <w:rPr>
          <w:rtl w:val="0"/>
        </w:rPr>
        <w:t xml:space="preserve">= C</w:t>
      </w:r>
      <w:r w:rsidDel="00000000" w:rsidR="00000000" w:rsidRPr="00000000">
        <w:rPr>
          <w:vertAlign w:val="subscript"/>
          <w:rtl w:val="0"/>
        </w:rPr>
        <w:t xml:space="preserve">min</w:t>
      </w:r>
      <w:r w:rsidDel="00000000" w:rsidR="00000000" w:rsidRPr="00000000">
        <w:rPr>
          <w:rtl w:val="0"/>
        </w:rPr>
        <w:t xml:space="preserve">/C</w:t>
      </w:r>
      <w:r w:rsidDel="00000000" w:rsidR="00000000" w:rsidRPr="00000000">
        <w:rPr>
          <w:vertAlign w:val="subscript"/>
          <w:rtl w:val="0"/>
        </w:rPr>
        <w:t xml:space="preserve">badana</w:t>
      </w:r>
      <w:r w:rsidDel="00000000" w:rsidR="00000000" w:rsidRPr="00000000">
        <w:rPr>
          <w:rtl w:val="0"/>
        </w:rPr>
        <w:t xml:space="preserve">  x 100</w:t>
      </w:r>
    </w:p>
    <w:p w:rsidR="00000000" w:rsidDel="00000000" w:rsidP="00000000" w:rsidRDefault="00000000" w:rsidRPr="00000000" w14:paraId="00000078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  <w:t xml:space="preserve"> – punkty w kryterium ceny</w:t>
      </w:r>
    </w:p>
    <w:p w:rsidR="00000000" w:rsidDel="00000000" w:rsidP="00000000" w:rsidRDefault="00000000" w:rsidRPr="00000000" w14:paraId="00000079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subscript"/>
          <w:rtl w:val="0"/>
        </w:rPr>
        <w:t xml:space="preserve">min</w:t>
      </w:r>
      <w:r w:rsidDel="00000000" w:rsidR="00000000" w:rsidRPr="00000000">
        <w:rPr>
          <w:rtl w:val="0"/>
        </w:rPr>
        <w:t xml:space="preserve"> – cena netto najniższa</w:t>
      </w:r>
    </w:p>
    <w:p w:rsidR="00000000" w:rsidDel="00000000" w:rsidP="00000000" w:rsidRDefault="00000000" w:rsidRPr="00000000" w14:paraId="0000007A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subscript"/>
          <w:rtl w:val="0"/>
        </w:rPr>
        <w:t xml:space="preserve">badana</w:t>
      </w:r>
      <w:r w:rsidDel="00000000" w:rsidR="00000000" w:rsidRPr="00000000">
        <w:rPr>
          <w:rtl w:val="0"/>
        </w:rPr>
        <w:t xml:space="preserve"> – cena netto badanej oferty</w:t>
      </w:r>
    </w:p>
    <w:p w:rsidR="00000000" w:rsidDel="00000000" w:rsidP="00000000" w:rsidRDefault="00000000" w:rsidRPr="00000000" w14:paraId="0000007B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100 – waga kryterium (100%)</w:t>
      </w:r>
    </w:p>
    <w:p w:rsidR="00000000" w:rsidDel="00000000" w:rsidP="00000000" w:rsidRDefault="00000000" w:rsidRPr="00000000" w14:paraId="0000007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W przypadku dwóch lub więcej ofert o równej liczbie przyznanych punktów Zamawiający wezwie Wykonawców, którzy złożyli równo ocenione oferty, do złożenia w terminie określonym przez niego ofert dodatkowych. Wykonawcy składający oferty dodatkowe nie mogą zaoferować cen wyższych niż zaoferowane w złożonych ofertach.</w:t>
      </w:r>
    </w:p>
    <w:p w:rsidR="00000000" w:rsidDel="00000000" w:rsidP="00000000" w:rsidRDefault="00000000" w:rsidRPr="00000000" w14:paraId="0000007F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TERMIN I SPOSÓB SKŁADANIA OFERT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Oferty należy skierować do Zamawiającego zgodnie ze wzorem stanowiącym Załącznik nr 1 do niniejszego zapytania ofertowego. Do oferty należy załączyć: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szczegółową ofertę (przygotowaną w oparciu o wzory dokumentów Wykonawcy)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harmonogram projektu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kopia certyfikatu GLP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kopia akredytacji AAALAC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historia inspekcji (OECD GLP i FDA) z ostatnich 5 lat (2018 – 2022)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Jeżeli ośrodek badawczy został utworzon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 2018 roku, należy przedstawić historię inspekcji od początku funkcjonowania.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Oferta powinna być podpisana fizycznie na dokumencie lub elektronicznie przez należycie umocowanego przedstawiciela Dostawcy.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Oferty należy składać przesyłając je drogą elektroniczną na adres e-mail: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vertAlign w:val="baseline"/>
            <w:rtl w:val="0"/>
          </w:rPr>
          <w:t xml:space="preserve">pilaszek@trimen.pl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lub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vertAlign w:val="baseline"/>
            <w:rtl w:val="0"/>
          </w:rPr>
          <w:t xml:space="preserve">granty@trimen.pl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lub poprzez bazę konkurencyjności jako odpowiedź niniejsze zapytanie w niej umieszczone, osobiście lub listownie (liczy się data wpływu) na adres Zamawiającego.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Oferty należy składać do dnia 27 października 2023 r. do godz.: 23:59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 termin złożenia oferty uznaje się termin jej wpływu do Zamawiającego.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Oferty, które wpłyną po upływie wyznaczonego terminu, na niewłaściwy adres e-mail, na niewłaściwym formularzu oraz oferty niekompletne nie będą podlegały ocenie.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Oferta powinna zawierać termin jej obowiązywania (minimum 30 dni od daty wyznaczonej na składanie ofert).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Dostawca może złożyć tylko jedną ofertę na jedno zapytanie ofertowe.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Wszelkie koszty związane z przygotowaniem oferty ponosi Usługodawca / Dostawca.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Zapytania w zakresie przedmiotu zamówienia należy kierować poprzez Bazę Konkurencyjności i za pośrednictwem wskazanego adresu email pilaszek@trimen.pl do dnia 20 października 2023 r. do godz.: 15:00.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Prosimy o podanie cen w wartościach netto (nie zawierających podatku VAT) oraz w wartościach brutto.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Wymienione wartości w ofercie (kwota netto, brutto) należy podać w zaokrągleniu do dwóch miejsc po przecinku przy zachowaniu matematycznej zasady zaokrąglania liczb.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Cena oferty winna zawierać należny VAT, jeśli dotyczy. Prawidłowe ustalenie VAT należy do obowiązków wykonawcy. W przypadku niewłaściwego ustalenia podatku VAT, cena oferty uwzględniana w ocenie to netto.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przypadku złożenia przez Oferenta oferty w walucie obcej przyjmuje się, iż podstawę przeliczenia wartości oferty zawierającej cenę w walucie innej niż złoty, stanowi średni kurs złotego w stosunku do tej waluty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 dnia zapytania ofertowego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ogłoszony przez Narodowy Bank Polski.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nie dopuszcza przedstawienia ceny ofertowej w kilku wariantach.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Oferent może przed upływem terminu składania ofert zmienić lub wycofać swoją ofertę.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ZAWIADOMIENIE O WYBORZE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Oferent o wyborze jego oferty zostanie powiadomiony poprzez e-mail. Wyniki postępowania, zgodnie z zasadą konkurencyjności, zostaną upublicznione w takim sam sposób jak zapytanie ofertowe.</w:t>
      </w:r>
    </w:p>
    <w:p w:rsidR="00000000" w:rsidDel="00000000" w:rsidP="00000000" w:rsidRDefault="00000000" w:rsidRPr="00000000" w14:paraId="0000009C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ISTOTNE POSTANOWIENIA UMOWY I WARUNKI ICH ZMIAN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Dostawca zobowiązany będzie do zawarcia umowy na warunkach ujętych w niniejszym zapytaniu i ofercie. </w:t>
      </w:r>
    </w:p>
    <w:p w:rsidR="00000000" w:rsidDel="00000000" w:rsidP="00000000" w:rsidRDefault="00000000" w:rsidRPr="00000000" w14:paraId="000000A0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Zamawiający zastrzega sobie prawo do udzielenia wybranemu w wyniku przeprowadzonej procedury wyboru Wykonawcy zamówienia uzupełniającego w wysokości nieprzekraczającej 50% wartości zamówienia podstawowego. 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Przedmiot zamówienia uzupełniającego będzie zgodny z przedmiotem zamówienia podstawowego.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Nie jest możliwe dokonywanie istotnych zmian postanowień zawartej umowy w stosunku do treści oferty, na podstawie której dokonano wyboru wykonawcy, chyba że: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zmiany dotyczą realizacji dodatkowych usług, dostaw od dotychczasowego Wykonawcy, nieobjętych zamówieniem podstawowym, o ile stały się niezbędne i zostały spełnione łącznie następujące warunki: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zmiana Wykonawcy spowodowałaby istotną niedogodność lub znaczne zwiększenie kosztów dla zamawiającego,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wartość każdej kolejnej zmiany nie przekracza 50% wartości zamówienia określonej pierwotnie w umowie,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zmiana nie prowadzi do zmiany charakteru umowy i zostały spełnione łącznie następujące warunki: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konieczność zmiany umowy spowodowana jest działaniem siły wyższej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 z dochowaniem należytej staranności,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wprowadzone zostaną obostrzenia związane z ogłoszeniem na obszarze Rzeczypospolitej Polskiej stanu epidemii.,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wartość zmiany nie przekracza 50% wartości zamówienia określonej pierwotnie w umowie,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zmiana nie prowadzi do zmiany charakteru umowy, a łączna wartość zmian jest mniejsza niż kwoty określone w przepisach wydanych na podstawie art. 11 ust. 8 Pzp, od których jest uzależniony obowiązek przekazywania ogłoszeń Urzędowi Publikacji Unii Europejskiej i jednocześnie jest mniejsza od 10% wartości zamówienia określonej pierwotnie w umowie.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Wszelkie </w:t>
      </w:r>
      <w:r w:rsidDel="00000000" w:rsidR="00000000" w:rsidRPr="00000000">
        <w:rPr>
          <w:rtl w:val="0"/>
        </w:rPr>
        <w:t xml:space="preserve">zmiany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w umowie, która zostanie zawarta w wyniku postępowania, wymagają formy pisemnej, pod rygorem nieważności.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Informacje dotyczące kar umownych: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 wypowiedzenie lub odstąpienie od Umowy przez którąkolwiek ze Stron z przyczyn leżących po stronie Wykonawcy, Zamawiający naliczy karę umowną w wysokości 5% wartości kontraktu.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Podstawę dokumentalną naliczenia kar umownych stanowić będzie nota obciążeniowa Zamawiającego doręczona do Wykonawcy w formie wiadomości e-mail na adres podany w ofercie/umowie.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Zamawiającemu przysługuje prawo potrącenia kar umownych z wynagrodzenia dostawcy.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ma prawo do dochodzenia odszkodowania w wysokości przewyższających kwotę kar umownych określonych w Umowie na zasadach ogólnych.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Kary umowne będą płatne w terminie 7 dni od dnia doręczenia Wykonawcy noty obciążeniowej przez Zamawiającego.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Kary umowne podlegają sumowaniu.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POZOSTAŁE INFORMACJE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zastrzega sobie prawo unieważnienia postępowania na każdym jego etapie, bez podania przyczyn.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Wydanie niniejszego zapytania ofertowego nie zobowiązuje Zamawiającego do akceptacji oferty, w całości lub części, oraz nie zobowiązuje do składania wyjaśnień czy powodów akceptacji czy odrzucenia oferty.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zastrzega sobie prawo do wystąpienia z zapytaniem dotyczącym dodatkowych informacji, dokumentów lub wyjaśnień.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 uzasadnionych wypadkach, w każdym czasie, przed upływem terminu składania ofert, FiLeClo Sp. z o.o. może zmodyfikować lub uzupełnić treść zapytania ofertowego. </w:t>
        <w:br w:type="textWrapping"/>
        <w:t xml:space="preserve">O dokonanej zmianie Zamawiający poinformuje w takim sam sposób jak upublicznione zostało zapytanie ofertowe.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Niniejsze zapytanie ofertowe nie zobowiązuje FiLeClo Sp. z o.o.. do zawarcia umowy.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nie ponosi odpowiedzialności za jakiekolwiek koszty czy wydatki poniesione przez oferentów w związku z przygotowaniem i dostarczeniem oferty.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Zamawiający zastrzega sobie prawo do odrzucenia rażąco niskiej oferty.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ZAŁĄCZNIKI DO ZAPYTANIA OFERTOWEGO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1: Wzór formularza ofertowego.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2: Oświadczenie w przedmiocie powiązań osobowych i kapitałowych z Zamawiającym.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3: Wzór umowy o Zachowaniu poufności (w języku angielskim).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4: Pakiet Informacji Technicznych udostępniany wyłącznie po podpisaniu Umowy o zachowaniu poufności.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-284" w:firstLine="284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851" w:top="1417" w:left="1418" w:right="1418" w:header="425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Strona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z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Jeżeli ośrodek badawczy zostało utworzone po 201</w:t>
      </w:r>
      <w:r w:rsidDel="00000000" w:rsidR="00000000" w:rsidRPr="00000000">
        <w:rPr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roku, należy przedstawić historię inspekcji od początku funkcjonowania.</w:t>
      </w:r>
    </w:p>
  </w:footnote>
  <w:footnote w:id="1"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Przez ofertę rażąco niską rozumie się ofertę z ceną całkowitą (uwzględniającą obowiązujący VAT) niższą niż 70% ceny wszystkich złożonych w niniejszym postępowaniu ofert.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-213669</wp:posOffset>
          </wp:positionH>
          <wp:positionV relativeFrom="paragraph">
            <wp:posOffset>0</wp:posOffset>
          </wp:positionV>
          <wp:extent cx="5972810" cy="4826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2810" cy="48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cs="Arial" w:eastAsia="Arial" w:hAnsi="Aria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cs="Arial" w:eastAsia="Arial" w:hAnsi="Aria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upperRoman"/>
      <w:lvlText w:val="%1."/>
      <w:lvlJc w:val="righ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cs="Arial" w:eastAsia="Arial" w:hAnsi="Aria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412CDB"/>
    <w:pPr>
      <w:spacing w:afterAutospacing="1" w:beforeAutospacing="1"/>
      <w:contextualSpacing w:val="1"/>
    </w:p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5130A2"/>
  </w:style>
  <w:style w:type="character" w:styleId="StopkaZnak" w:customStyle="1">
    <w:name w:val="Stopka Znak"/>
    <w:basedOn w:val="Domylnaczcionkaakapitu"/>
    <w:link w:val="Stopka"/>
    <w:uiPriority w:val="99"/>
    <w:qFormat w:val="1"/>
    <w:rsid w:val="005130A2"/>
  </w:style>
  <w:style w:type="character" w:styleId="AkapitzlistZnak" w:customStyle="1">
    <w:name w:val="Akapit z listą Znak"/>
    <w:basedOn w:val="Domylnaczcionkaakapitu"/>
    <w:link w:val="Akapitzlist"/>
    <w:uiPriority w:val="34"/>
    <w:qFormat w:val="1"/>
    <w:rsid w:val="00151F4B"/>
  </w:style>
  <w:style w:type="character" w:styleId="poziom1Znak" w:customStyle="1">
    <w:name w:val="poziom 1 Znak"/>
    <w:basedOn w:val="AkapitzlistZnak"/>
    <w:link w:val="poziom1"/>
    <w:qFormat w:val="1"/>
    <w:rsid w:val="00412CDB"/>
    <w:rPr>
      <w:b w:val="1"/>
    </w:rPr>
  </w:style>
  <w:style w:type="character" w:styleId="poziom2Znak" w:customStyle="1">
    <w:name w:val="poziom 2 Znak"/>
    <w:basedOn w:val="AkapitzlistZnak"/>
    <w:link w:val="poziom2"/>
    <w:qFormat w:val="1"/>
    <w:rsid w:val="00412CDB"/>
    <w:rPr>
      <w:rFonts w:cs="Arial"/>
    </w:rPr>
  </w:style>
  <w:style w:type="character" w:styleId="poziom3Znak" w:customStyle="1">
    <w:name w:val="poziom 3 Znak"/>
    <w:basedOn w:val="AkapitzlistZnak"/>
    <w:link w:val="poziom3"/>
    <w:qFormat w:val="1"/>
    <w:rsid w:val="00151F4B"/>
    <w:rPr>
      <w:rFonts w:cs="Arial"/>
    </w:rPr>
  </w:style>
  <w:style w:type="character" w:styleId="Hipercze">
    <w:name w:val="Hyperlink"/>
    <w:basedOn w:val="Domylnaczcionkaakapitu"/>
    <w:uiPriority w:val="99"/>
    <w:unhideWhenUsed w:val="1"/>
    <w:rsid w:val="007920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qFormat w:val="1"/>
    <w:rsid w:val="00792052"/>
    <w:rPr>
      <w:color w:val="605e5c"/>
      <w:shd w:color="auto" w:fill="e1dfdd" w:val="clear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5A251C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4D6C82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 w:val="1"/>
    <w:rsid w:val="004D6C8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4D6C82"/>
    <w:rPr>
      <w:b w:val="1"/>
      <w:bCs w:val="1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qFormat w:val="1"/>
    <w:rsid w:val="009F12D4"/>
    <w:rPr>
      <w:sz w:val="20"/>
      <w:szCs w:val="20"/>
    </w:rPr>
  </w:style>
  <w:style w:type="character" w:styleId="Znakiprzypiswdolnych" w:customStyle="1">
    <w:name w:val="Znaki przypisów dolnych"/>
    <w:basedOn w:val="Domylnaczcionkaakapitu"/>
    <w:uiPriority w:val="99"/>
    <w:semiHidden w:val="1"/>
    <w:unhideWhenUsed w:val="1"/>
    <w:qFormat w:val="1"/>
    <w:rsid w:val="009F12D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Znakiprzypiswkocowych" w:customStyle="1">
    <w:name w:val="Znaki przypisów końcowych"/>
    <w:qFormat w:val="1"/>
  </w:style>
  <w:style w:type="paragraph" w:styleId="Nagwek">
    <w:name w:val="header"/>
    <w:basedOn w:val="Normalny"/>
    <w:next w:val="Tekstpodstawowy"/>
    <w:link w:val="NagwekZnak"/>
    <w:uiPriority w:val="99"/>
    <w:unhideWhenUsed w:val="1"/>
    <w:rsid w:val="005130A2"/>
    <w:pPr>
      <w:tabs>
        <w:tab w:val="center" w:pos="4536"/>
        <w:tab w:val="right" w:pos="9072"/>
      </w:tabs>
      <w:spacing w:before="280"/>
    </w:pPr>
  </w:style>
  <w:style w:type="paragraph" w:styleId="Tekstpodstawowy">
    <w:name w:val="Body Text"/>
    <w:basedOn w:val="Normalny"/>
    <w:pPr>
      <w:spacing w:after="140" w:line="276" w:lineRule="auto"/>
      <w:contextualSpacing w:val="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 w:val="1"/>
    <w:pPr>
      <w:suppressLineNumbers w:val="1"/>
      <w:spacing w:after="120" w:before="120"/>
      <w:contextualSpacing w:val="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Arial"/>
    </w:r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Gwkaistopka" w:customStyle="1">
    <w:name w:val="Główka i stopka"/>
    <w:basedOn w:val="Normalny"/>
    <w:qFormat w:val="1"/>
  </w:style>
  <w:style w:type="paragraph" w:styleId="Stopka">
    <w:name w:val="footer"/>
    <w:basedOn w:val="Normalny"/>
    <w:link w:val="StopkaZnak"/>
    <w:uiPriority w:val="99"/>
    <w:unhideWhenUsed w:val="1"/>
    <w:rsid w:val="005130A2"/>
    <w:pPr>
      <w:tabs>
        <w:tab w:val="center" w:pos="4536"/>
        <w:tab w:val="right" w:pos="9072"/>
      </w:tabs>
      <w:spacing w:before="280"/>
    </w:pPr>
  </w:style>
  <w:style w:type="paragraph" w:styleId="Akapitzlist">
    <w:name w:val="List Paragraph"/>
    <w:basedOn w:val="Normalny"/>
    <w:link w:val="AkapitzlistZnak"/>
    <w:uiPriority w:val="34"/>
    <w:qFormat w:val="1"/>
    <w:rsid w:val="000D28C0"/>
    <w:pPr>
      <w:ind w:left="720"/>
    </w:pPr>
  </w:style>
  <w:style w:type="paragraph" w:styleId="poziom1" w:customStyle="1">
    <w:name w:val="poziom 1"/>
    <w:basedOn w:val="Akapitzlist"/>
    <w:link w:val="poziom1Znak"/>
    <w:qFormat w:val="1"/>
    <w:rsid w:val="00412CDB"/>
    <w:pPr>
      <w:numPr>
        <w:numId w:val="1"/>
      </w:numPr>
    </w:pPr>
    <w:rPr>
      <w:b w:val="1"/>
    </w:rPr>
  </w:style>
  <w:style w:type="paragraph" w:styleId="poziom2" w:customStyle="1">
    <w:name w:val="poziom 2"/>
    <w:basedOn w:val="Akapitzlist"/>
    <w:link w:val="poziom2Znak"/>
    <w:qFormat w:val="1"/>
    <w:rsid w:val="00412CDB"/>
    <w:pPr>
      <w:numPr>
        <w:ilvl w:val="1"/>
        <w:numId w:val="1"/>
      </w:numPr>
    </w:pPr>
    <w:rPr>
      <w:rFonts w:cs="Arial"/>
    </w:rPr>
  </w:style>
  <w:style w:type="paragraph" w:styleId="poziom3" w:customStyle="1">
    <w:name w:val="poziom 3"/>
    <w:basedOn w:val="Akapitzlist"/>
    <w:link w:val="poziom3Znak"/>
    <w:qFormat w:val="1"/>
    <w:rsid w:val="00151F4B"/>
    <w:pPr>
      <w:numPr>
        <w:ilvl w:val="2"/>
        <w:numId w:val="1"/>
      </w:numPr>
      <w:spacing w:before="280"/>
      <w:jc w:val="both"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5A251C"/>
    <w:pPr>
      <w:spacing w:before="280"/>
    </w:pPr>
    <w:rPr>
      <w:rFonts w:ascii="Segoe UI" w:cs="Segoe UI" w:hAnsi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 w:val="1"/>
    <w:qFormat w:val="1"/>
    <w:rsid w:val="004D6C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4D6C82"/>
    <w:rPr>
      <w:b w:val="1"/>
      <w:bCs w:val="1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9F12D4"/>
    <w:pPr>
      <w:spacing w:before="280"/>
    </w:pPr>
    <w:rPr>
      <w:sz w:val="20"/>
      <w:szCs w:val="20"/>
    </w:rPr>
  </w:style>
  <w:style w:type="paragraph" w:styleId="Default" w:customStyle="1">
    <w:name w:val="Default"/>
    <w:qFormat w:val="1"/>
    <w:rsid w:val="00D7012C"/>
    <w:rPr>
      <w:color w:val="000000"/>
      <w:sz w:val="24"/>
      <w:szCs w:val="24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uiPriority w:val="39"/>
    <w:rsid w:val="00195F0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mailto:granty@trimen.pl" TargetMode="External"/><Relationship Id="rId10" Type="http://schemas.openxmlformats.org/officeDocument/2006/relationships/hyperlink" Target="mailto:pilaszek@trimen.pl" TargetMode="Externa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LFN7BOokEkOqHkrtsO9BwNvQQ==">CgMxLjAyCGguZ2pkZ3hzMgloLjFmb2I5dGU4AHIhMTNlek54U0l2X0xpS0Z0QzlET2tvSV8tcktKVU03cVdL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2023-09-27T11:57:00Z</dcterms:created>
  <dc:creator>Michał Skrzek</dc:creator>
</cp:coreProperties>
</file>