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0FBED0" w14:textId="44FD4F0C" w:rsidR="007A0AC3" w:rsidRPr="00FA680B" w:rsidRDefault="00B06802">
      <w:pPr>
        <w:widowControl w:val="0"/>
        <w:jc w:val="right"/>
        <w:rPr>
          <w:rFonts w:asciiTheme="majorHAnsi" w:eastAsia="Tahoma" w:hAnsiTheme="majorHAnsi" w:cstheme="majorHAnsi"/>
          <w:color w:val="000000" w:themeColor="text1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Jaroszewo</w:t>
      </w:r>
      <w:r w:rsidR="00AE1C55"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 xml:space="preserve"> </w:t>
      </w:r>
      <w:r w:rsidR="0030739F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2</w:t>
      </w:r>
      <w:r w:rsidR="00C5643E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6</w:t>
      </w:r>
      <w:r w:rsidR="000E3C6F"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.</w:t>
      </w:r>
      <w:r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0</w:t>
      </w:r>
      <w:r w:rsidR="003306FC"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9</w:t>
      </w:r>
      <w:r w:rsidR="000E3C6F"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.202</w:t>
      </w:r>
      <w:r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3</w:t>
      </w:r>
      <w:r w:rsidR="000E3C6F"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 xml:space="preserve"> r.</w:t>
      </w:r>
    </w:p>
    <w:p w14:paraId="0F182C39" w14:textId="77777777" w:rsidR="007A0AC3" w:rsidRPr="00FA680B" w:rsidRDefault="007A0AC3">
      <w:pPr>
        <w:widowControl w:val="0"/>
        <w:jc w:val="right"/>
        <w:rPr>
          <w:rFonts w:asciiTheme="majorHAnsi" w:eastAsia="Tahoma" w:hAnsiTheme="majorHAnsi" w:cstheme="majorHAnsi"/>
          <w:sz w:val="20"/>
          <w:szCs w:val="20"/>
        </w:rPr>
      </w:pPr>
    </w:p>
    <w:p w14:paraId="2D654785" w14:textId="77777777" w:rsidR="007A0AC3" w:rsidRPr="00FA680B" w:rsidRDefault="007A0AC3">
      <w:pPr>
        <w:spacing w:line="276" w:lineRule="auto"/>
        <w:jc w:val="center"/>
        <w:rPr>
          <w:rFonts w:asciiTheme="majorHAnsi" w:eastAsia="Tahoma" w:hAnsiTheme="majorHAnsi" w:cstheme="majorHAnsi"/>
          <w:b/>
          <w:sz w:val="20"/>
          <w:szCs w:val="20"/>
        </w:rPr>
      </w:pPr>
    </w:p>
    <w:p w14:paraId="217597BA" w14:textId="77777777" w:rsidR="007A0AC3" w:rsidRPr="00FA680B" w:rsidRDefault="000E3C6F">
      <w:pPr>
        <w:spacing w:line="276" w:lineRule="auto"/>
        <w:jc w:val="center"/>
        <w:rPr>
          <w:rFonts w:asciiTheme="majorHAnsi" w:eastAsia="Tahoma" w:hAnsiTheme="majorHAnsi" w:cstheme="majorHAnsi"/>
          <w:b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sz w:val="20"/>
          <w:szCs w:val="20"/>
        </w:rPr>
        <w:t>POSTĘPOWANIE O UDZIELENIE ZAMÓWIENIA PUBLICZNEGO</w:t>
      </w:r>
    </w:p>
    <w:p w14:paraId="374A8F51" w14:textId="708CE509" w:rsidR="007A0AC3" w:rsidRPr="00FA680B" w:rsidRDefault="000E3C6F">
      <w:pPr>
        <w:spacing w:line="276" w:lineRule="auto"/>
        <w:jc w:val="center"/>
        <w:rPr>
          <w:rFonts w:asciiTheme="majorHAnsi" w:eastAsia="Tahoma" w:hAnsiTheme="majorHAnsi" w:cstheme="majorHAnsi"/>
          <w:b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sz w:val="20"/>
          <w:szCs w:val="20"/>
        </w:rPr>
        <w:t xml:space="preserve">ZAPYTANIE OFERTOWE NR </w:t>
      </w:r>
      <w:r w:rsidR="003306FC" w:rsidRPr="00FA680B">
        <w:rPr>
          <w:rFonts w:asciiTheme="majorHAnsi" w:eastAsia="Tahoma" w:hAnsiTheme="majorHAnsi" w:cstheme="majorHAnsi"/>
          <w:b/>
          <w:sz w:val="20"/>
          <w:szCs w:val="20"/>
        </w:rPr>
        <w:t>7</w:t>
      </w:r>
      <w:r w:rsidRPr="00FA680B">
        <w:rPr>
          <w:rFonts w:asciiTheme="majorHAnsi" w:eastAsia="Tahoma" w:hAnsiTheme="majorHAnsi" w:cstheme="majorHAnsi"/>
          <w:b/>
          <w:color w:val="000000" w:themeColor="text1"/>
          <w:sz w:val="20"/>
          <w:szCs w:val="20"/>
        </w:rPr>
        <w:t>/202</w:t>
      </w:r>
      <w:r w:rsidR="00B06802" w:rsidRPr="00FA680B">
        <w:rPr>
          <w:rFonts w:asciiTheme="majorHAnsi" w:eastAsia="Tahoma" w:hAnsiTheme="majorHAnsi" w:cstheme="majorHAnsi"/>
          <w:b/>
          <w:color w:val="000000" w:themeColor="text1"/>
          <w:sz w:val="20"/>
          <w:szCs w:val="20"/>
        </w:rPr>
        <w:t>3</w:t>
      </w:r>
    </w:p>
    <w:p w14:paraId="4268DA9C" w14:textId="77777777" w:rsidR="007A0AC3" w:rsidRPr="00FA680B" w:rsidRDefault="007A0AC3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</w:p>
    <w:p w14:paraId="4B9777C0" w14:textId="77777777" w:rsidR="007A0AC3" w:rsidRPr="00FA680B" w:rsidRDefault="007A0AC3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</w:p>
    <w:p w14:paraId="0CD9DBDE" w14:textId="77777777" w:rsidR="00F8320D" w:rsidRPr="00FA680B" w:rsidRDefault="00B06802" w:rsidP="00F8320D">
      <w:pPr>
        <w:spacing w:line="276" w:lineRule="auto"/>
        <w:jc w:val="center"/>
        <w:rPr>
          <w:rFonts w:asciiTheme="majorHAnsi" w:eastAsia="Tahoma" w:hAnsiTheme="majorHAnsi" w:cstheme="majorHAnsi"/>
          <w:b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sz w:val="20"/>
          <w:szCs w:val="20"/>
        </w:rPr>
        <w:t>M</w:t>
      </w:r>
      <w:r w:rsidR="00976CC9" w:rsidRPr="00FA680B">
        <w:rPr>
          <w:rFonts w:asciiTheme="majorHAnsi" w:eastAsia="Tahoma" w:hAnsiTheme="majorHAnsi" w:cstheme="majorHAnsi"/>
          <w:b/>
          <w:sz w:val="20"/>
          <w:szCs w:val="20"/>
        </w:rPr>
        <w:t>ECH</w:t>
      </w:r>
      <w:r w:rsidRPr="00FA680B">
        <w:rPr>
          <w:rFonts w:asciiTheme="majorHAnsi" w:eastAsia="Tahoma" w:hAnsiTheme="majorHAnsi" w:cstheme="majorHAnsi"/>
          <w:b/>
          <w:sz w:val="20"/>
          <w:szCs w:val="20"/>
        </w:rPr>
        <w:t>- M</w:t>
      </w:r>
      <w:r w:rsidR="00976CC9" w:rsidRPr="00FA680B">
        <w:rPr>
          <w:rFonts w:asciiTheme="majorHAnsi" w:eastAsia="Tahoma" w:hAnsiTheme="majorHAnsi" w:cstheme="majorHAnsi"/>
          <w:b/>
          <w:sz w:val="20"/>
          <w:szCs w:val="20"/>
        </w:rPr>
        <w:t>ASZ</w:t>
      </w:r>
      <w:r w:rsidRPr="00FA680B">
        <w:rPr>
          <w:rFonts w:asciiTheme="majorHAnsi" w:eastAsia="Tahoma" w:hAnsiTheme="majorHAnsi" w:cstheme="majorHAnsi"/>
          <w:b/>
          <w:sz w:val="20"/>
          <w:szCs w:val="20"/>
        </w:rPr>
        <w:t xml:space="preserve"> Szczeciński</w:t>
      </w:r>
      <w:r w:rsidR="00AE1C55" w:rsidRPr="00FA680B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FA680B">
        <w:rPr>
          <w:rFonts w:asciiTheme="majorHAnsi" w:eastAsia="Tahoma" w:hAnsiTheme="majorHAnsi" w:cstheme="majorHAnsi"/>
          <w:b/>
          <w:sz w:val="20"/>
          <w:szCs w:val="20"/>
        </w:rPr>
        <w:t>S</w:t>
      </w:r>
      <w:r w:rsidR="00F8320D" w:rsidRPr="00FA680B">
        <w:rPr>
          <w:rFonts w:asciiTheme="majorHAnsi" w:eastAsia="Tahoma" w:hAnsiTheme="majorHAnsi" w:cstheme="majorHAnsi"/>
          <w:b/>
          <w:sz w:val="20"/>
          <w:szCs w:val="20"/>
        </w:rPr>
        <w:t xml:space="preserve">p. </w:t>
      </w:r>
      <w:r w:rsidR="00BE469D" w:rsidRPr="00FA680B">
        <w:rPr>
          <w:rFonts w:asciiTheme="majorHAnsi" w:eastAsia="Tahoma" w:hAnsiTheme="majorHAnsi" w:cstheme="majorHAnsi"/>
          <w:b/>
          <w:sz w:val="20"/>
          <w:szCs w:val="20"/>
        </w:rPr>
        <w:t>Jawna</w:t>
      </w:r>
    </w:p>
    <w:p w14:paraId="1CD48255" w14:textId="77777777" w:rsidR="007A0AC3" w:rsidRPr="00FA680B" w:rsidRDefault="000E3C6F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z siedzibą w </w:t>
      </w:r>
      <w:r w:rsidR="00B06802" w:rsidRPr="00FA680B">
        <w:rPr>
          <w:rFonts w:asciiTheme="majorHAnsi" w:eastAsia="Tahoma" w:hAnsiTheme="majorHAnsi" w:cstheme="majorHAnsi"/>
          <w:sz w:val="20"/>
          <w:szCs w:val="20"/>
        </w:rPr>
        <w:t>Żninie</w:t>
      </w: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 (kod: </w:t>
      </w:r>
      <w:r w:rsidR="00B06802" w:rsidRPr="00FA680B">
        <w:rPr>
          <w:rFonts w:asciiTheme="majorHAnsi" w:eastAsia="Tahoma" w:hAnsiTheme="majorHAnsi" w:cstheme="majorHAnsi"/>
          <w:sz w:val="20"/>
          <w:szCs w:val="20"/>
        </w:rPr>
        <w:t>88</w:t>
      </w:r>
      <w:r w:rsidRPr="00FA680B">
        <w:rPr>
          <w:rFonts w:asciiTheme="majorHAnsi" w:eastAsia="Tahoma" w:hAnsiTheme="majorHAnsi" w:cstheme="majorHAnsi"/>
          <w:sz w:val="20"/>
          <w:szCs w:val="20"/>
        </w:rPr>
        <w:t>-</w:t>
      </w:r>
      <w:r w:rsidR="00B06802" w:rsidRPr="00FA680B">
        <w:rPr>
          <w:rFonts w:asciiTheme="majorHAnsi" w:eastAsia="Tahoma" w:hAnsiTheme="majorHAnsi" w:cstheme="majorHAnsi"/>
          <w:sz w:val="20"/>
          <w:szCs w:val="20"/>
        </w:rPr>
        <w:t>400</w:t>
      </w: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), </w:t>
      </w:r>
      <w:r w:rsidR="00B06802" w:rsidRPr="00FA680B">
        <w:rPr>
          <w:rFonts w:asciiTheme="majorHAnsi" w:eastAsia="Tahoma" w:hAnsiTheme="majorHAnsi" w:cstheme="majorHAnsi"/>
          <w:sz w:val="20"/>
          <w:szCs w:val="20"/>
        </w:rPr>
        <w:t>Jaroszewo 80</w:t>
      </w:r>
    </w:p>
    <w:p w14:paraId="1F98B093" w14:textId="77777777" w:rsidR="007A0AC3" w:rsidRPr="00FA680B" w:rsidRDefault="000E3C6F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w związku z </w:t>
      </w:r>
      <w:r w:rsidR="00B06802" w:rsidRPr="00FA680B">
        <w:rPr>
          <w:rFonts w:asciiTheme="majorHAnsi" w:eastAsia="Tahoma" w:hAnsiTheme="majorHAnsi" w:cstheme="majorHAnsi"/>
          <w:sz w:val="20"/>
          <w:szCs w:val="20"/>
        </w:rPr>
        <w:t xml:space="preserve">planowaną </w:t>
      </w: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realizacją projektu pt. </w:t>
      </w:r>
    </w:p>
    <w:p w14:paraId="3FBACBFF" w14:textId="77777777" w:rsidR="007A0AC3" w:rsidRPr="00FA680B" w:rsidRDefault="000E3C6F" w:rsidP="00B06802">
      <w:pPr>
        <w:spacing w:line="276" w:lineRule="auto"/>
        <w:jc w:val="center"/>
        <w:rPr>
          <w:rFonts w:asciiTheme="majorHAnsi" w:eastAsia="Tahoma" w:hAnsiTheme="majorHAnsi" w:cstheme="majorHAnsi"/>
          <w:b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sz w:val="20"/>
          <w:szCs w:val="20"/>
        </w:rPr>
        <w:t>„</w:t>
      </w:r>
      <w:r w:rsidR="00B06802" w:rsidRPr="00FA680B">
        <w:rPr>
          <w:rFonts w:asciiTheme="majorHAnsi" w:eastAsia="Tahoma" w:hAnsiTheme="majorHAnsi" w:cstheme="majorHAnsi"/>
          <w:b/>
          <w:sz w:val="20"/>
          <w:szCs w:val="20"/>
        </w:rPr>
        <w:t>Wzrost potencjału badawczego firmy M</w:t>
      </w:r>
      <w:r w:rsidR="00976CC9" w:rsidRPr="00FA680B">
        <w:rPr>
          <w:rFonts w:asciiTheme="majorHAnsi" w:eastAsia="Tahoma" w:hAnsiTheme="majorHAnsi" w:cstheme="majorHAnsi"/>
          <w:b/>
          <w:sz w:val="20"/>
          <w:szCs w:val="20"/>
        </w:rPr>
        <w:t>ECH</w:t>
      </w:r>
      <w:r w:rsidR="00B06802" w:rsidRPr="00FA680B">
        <w:rPr>
          <w:rFonts w:asciiTheme="majorHAnsi" w:eastAsia="Tahoma" w:hAnsiTheme="majorHAnsi" w:cstheme="majorHAnsi"/>
          <w:b/>
          <w:sz w:val="20"/>
          <w:szCs w:val="20"/>
        </w:rPr>
        <w:t>- M</w:t>
      </w:r>
      <w:r w:rsidR="00976CC9" w:rsidRPr="00FA680B">
        <w:rPr>
          <w:rFonts w:asciiTheme="majorHAnsi" w:eastAsia="Tahoma" w:hAnsiTheme="majorHAnsi" w:cstheme="majorHAnsi"/>
          <w:b/>
          <w:sz w:val="20"/>
          <w:szCs w:val="20"/>
        </w:rPr>
        <w:t>ASZ</w:t>
      </w:r>
      <w:r w:rsidR="00B06802" w:rsidRPr="00FA680B">
        <w:rPr>
          <w:rFonts w:asciiTheme="majorHAnsi" w:eastAsia="Tahoma" w:hAnsiTheme="majorHAnsi" w:cstheme="majorHAnsi"/>
          <w:b/>
          <w:sz w:val="20"/>
          <w:szCs w:val="20"/>
        </w:rPr>
        <w:t xml:space="preserve"> Szczeciński poprzez realizację projektu dotyczącego opracowania zautomatyzowanej kompaktowej linii do kojenia i pakowania chleba oraz stworzenie Centrum Badawczo Rozwojowego firmy, a także internacjonalizacji firmy na wybranych rynkach perspektywicznych</w:t>
      </w:r>
      <w:r w:rsidRPr="00FA680B">
        <w:rPr>
          <w:rFonts w:asciiTheme="majorHAnsi" w:eastAsia="Tahoma" w:hAnsiTheme="majorHAnsi" w:cstheme="majorHAnsi"/>
          <w:b/>
          <w:sz w:val="20"/>
          <w:szCs w:val="20"/>
        </w:rPr>
        <w:t>"</w:t>
      </w:r>
    </w:p>
    <w:p w14:paraId="7C30D23F" w14:textId="77777777" w:rsidR="007A0AC3" w:rsidRPr="00FA680B" w:rsidRDefault="000E3C6F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>w ramach</w:t>
      </w:r>
    </w:p>
    <w:p w14:paraId="77FEA834" w14:textId="77777777" w:rsidR="007A0AC3" w:rsidRPr="00FA680B" w:rsidRDefault="00B06802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Funduszy Europejskich dla Nowoczesnej Gospodarki </w:t>
      </w:r>
    </w:p>
    <w:p w14:paraId="7F87D3B0" w14:textId="77777777" w:rsidR="007A0AC3" w:rsidRPr="00FA680B" w:rsidRDefault="00B06802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Priorytet 1 „Wsparcie dla </w:t>
      </w:r>
      <w:r w:rsidR="00822112" w:rsidRPr="00FA680B">
        <w:rPr>
          <w:rFonts w:asciiTheme="majorHAnsi" w:eastAsia="Tahoma" w:hAnsiTheme="majorHAnsi" w:cstheme="majorHAnsi"/>
          <w:sz w:val="20"/>
          <w:szCs w:val="20"/>
        </w:rPr>
        <w:t>p</w:t>
      </w:r>
      <w:r w:rsidRPr="00FA680B">
        <w:rPr>
          <w:rFonts w:asciiTheme="majorHAnsi" w:eastAsia="Tahoma" w:hAnsiTheme="majorHAnsi" w:cstheme="majorHAnsi"/>
          <w:sz w:val="20"/>
          <w:szCs w:val="20"/>
        </w:rPr>
        <w:t>rzedsiębiorców”</w:t>
      </w:r>
    </w:p>
    <w:p w14:paraId="18D1106F" w14:textId="77777777" w:rsidR="007A0AC3" w:rsidRPr="00FA680B" w:rsidRDefault="007A0AC3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</w:p>
    <w:p w14:paraId="277031CA" w14:textId="77777777" w:rsidR="007A0AC3" w:rsidRPr="00FA680B" w:rsidRDefault="000E3C6F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>zaprasza do składania ofert na</w:t>
      </w:r>
    </w:p>
    <w:p w14:paraId="1632E675" w14:textId="77777777" w:rsidR="007A0AC3" w:rsidRPr="00FA680B" w:rsidRDefault="007A0AC3">
      <w:pPr>
        <w:spacing w:line="276" w:lineRule="auto"/>
        <w:jc w:val="center"/>
        <w:rPr>
          <w:rFonts w:asciiTheme="majorHAnsi" w:eastAsia="Tahoma" w:hAnsiTheme="majorHAnsi" w:cstheme="majorHAnsi"/>
          <w:b/>
          <w:sz w:val="20"/>
          <w:szCs w:val="20"/>
        </w:rPr>
      </w:pPr>
    </w:p>
    <w:p w14:paraId="39BFC256" w14:textId="059ED467" w:rsidR="0021337B" w:rsidRPr="00FA680B" w:rsidRDefault="007C1C54">
      <w:pPr>
        <w:spacing w:line="276" w:lineRule="auto"/>
        <w:jc w:val="center"/>
        <w:rPr>
          <w:rFonts w:asciiTheme="majorHAnsi" w:eastAsia="Tahoma" w:hAnsiTheme="majorHAnsi" w:cstheme="majorHAnsi"/>
          <w:b/>
          <w:sz w:val="20"/>
          <w:szCs w:val="20"/>
        </w:rPr>
      </w:pPr>
      <w:r w:rsidRPr="00FA680B">
        <w:rPr>
          <w:rFonts w:asciiTheme="majorHAnsi" w:hAnsiTheme="majorHAnsi" w:cstheme="majorHAnsi"/>
          <w:b/>
        </w:rPr>
        <w:t>Dostawę Sprzętu laboratoryjnego wykorzystywanego do prac B+R - narzędzia</w:t>
      </w:r>
    </w:p>
    <w:p w14:paraId="4C14C900" w14:textId="77777777" w:rsidR="007C1C54" w:rsidRPr="00FA680B" w:rsidRDefault="007C1C54" w:rsidP="007D1FBE">
      <w:pPr>
        <w:spacing w:line="276" w:lineRule="auto"/>
        <w:jc w:val="center"/>
        <w:rPr>
          <w:rFonts w:asciiTheme="majorHAnsi" w:eastAsia="Tahoma" w:hAnsiTheme="majorHAnsi" w:cstheme="majorHAnsi"/>
          <w:color w:val="000000" w:themeColor="text1"/>
          <w:sz w:val="20"/>
          <w:szCs w:val="20"/>
        </w:rPr>
      </w:pPr>
    </w:p>
    <w:p w14:paraId="0C8F410D" w14:textId="6318DE4B" w:rsidR="00822112" w:rsidRPr="00FA680B" w:rsidRDefault="000E3C6F" w:rsidP="007D1FBE">
      <w:pPr>
        <w:spacing w:line="276" w:lineRule="auto"/>
        <w:jc w:val="center"/>
        <w:rPr>
          <w:rFonts w:asciiTheme="majorHAnsi" w:eastAsia="Tahoma" w:hAnsiTheme="majorHAnsi" w:cstheme="majorHAnsi"/>
          <w:color w:val="000000" w:themeColor="text1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 xml:space="preserve">kod CPV </w:t>
      </w:r>
    </w:p>
    <w:p w14:paraId="6EBF4119" w14:textId="2FF6D663" w:rsidR="00822112" w:rsidRPr="00FA680B" w:rsidRDefault="007C1C54" w:rsidP="00822112">
      <w:pPr>
        <w:spacing w:line="276" w:lineRule="auto"/>
        <w:jc w:val="center"/>
        <w:rPr>
          <w:rFonts w:asciiTheme="majorHAnsi" w:eastAsia="Tahoma" w:hAnsiTheme="majorHAnsi" w:cstheme="majorHAnsi"/>
          <w:b/>
          <w:bCs/>
          <w:color w:val="000000" w:themeColor="text1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bCs/>
          <w:color w:val="000000" w:themeColor="text1"/>
          <w:sz w:val="20"/>
          <w:szCs w:val="20"/>
        </w:rPr>
        <w:br/>
        <w:t>38000000-5 Sprzęt laboratoryjny, optyczny i precyzyjny (z wyjątkiem szklanego)</w:t>
      </w:r>
    </w:p>
    <w:p w14:paraId="6C8E4988" w14:textId="2934A133" w:rsidR="007C1C54" w:rsidRPr="00FA680B" w:rsidRDefault="007C1C54" w:rsidP="00822112">
      <w:pPr>
        <w:spacing w:line="276" w:lineRule="auto"/>
        <w:jc w:val="center"/>
        <w:rPr>
          <w:rFonts w:asciiTheme="majorHAnsi" w:eastAsia="Tahoma" w:hAnsiTheme="majorHAnsi" w:cstheme="majorHAnsi"/>
          <w:b/>
          <w:bCs/>
          <w:color w:val="000000" w:themeColor="text1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bCs/>
          <w:color w:val="000000" w:themeColor="text1"/>
          <w:sz w:val="20"/>
          <w:szCs w:val="20"/>
        </w:rPr>
        <w:t>44510000-8 Narzędzia</w:t>
      </w:r>
    </w:p>
    <w:p w14:paraId="3A3150D2" w14:textId="77777777" w:rsidR="007D1FBE" w:rsidRPr="00FA680B" w:rsidRDefault="007D1FBE" w:rsidP="00822112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</w:p>
    <w:p w14:paraId="60DC05C3" w14:textId="77777777" w:rsidR="007C1C54" w:rsidRPr="00FA680B" w:rsidRDefault="007C1C54" w:rsidP="00822112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</w:p>
    <w:p w14:paraId="70FC4B54" w14:textId="77777777" w:rsidR="007C1C54" w:rsidRPr="00FA680B" w:rsidRDefault="007C1C54" w:rsidP="00822112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</w:p>
    <w:p w14:paraId="29D277C5" w14:textId="77777777" w:rsidR="007C1C54" w:rsidRPr="00FA680B" w:rsidRDefault="007C1C54" w:rsidP="00822112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</w:p>
    <w:p w14:paraId="43D80369" w14:textId="77777777" w:rsidR="007C1C54" w:rsidRPr="00FA680B" w:rsidRDefault="007C1C54" w:rsidP="00822112">
      <w:pPr>
        <w:spacing w:line="276" w:lineRule="auto"/>
        <w:jc w:val="center"/>
        <w:rPr>
          <w:rFonts w:asciiTheme="majorHAnsi" w:eastAsia="Tahoma" w:hAnsiTheme="majorHAnsi" w:cstheme="majorHAnsi"/>
          <w:sz w:val="20"/>
          <w:szCs w:val="20"/>
        </w:rPr>
      </w:pPr>
    </w:p>
    <w:p w14:paraId="10F66222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Zamawiający:</w:t>
      </w:r>
    </w:p>
    <w:p w14:paraId="571F5DA9" w14:textId="77777777" w:rsidR="007A0AC3" w:rsidRPr="00FA680B" w:rsidRDefault="008221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M</w:t>
      </w:r>
      <w:r w:rsidR="00976CC9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ECH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- M</w:t>
      </w:r>
      <w:r w:rsidR="00976CC9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ASZ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Szczeciński</w:t>
      </w:r>
      <w:r w:rsidR="0021337B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</w:t>
      </w:r>
      <w:r w:rsidR="00BE469D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Sp. Jawna</w:t>
      </w:r>
    </w:p>
    <w:p w14:paraId="6958F5C8" w14:textId="77777777" w:rsidR="007A0AC3" w:rsidRPr="00FA680B" w:rsidRDefault="00822112">
      <w:pPr>
        <w:spacing w:line="276" w:lineRule="auto"/>
        <w:ind w:left="360" w:firstLine="720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>Jaroszewo 80</w:t>
      </w:r>
    </w:p>
    <w:p w14:paraId="14D9EE3F" w14:textId="66A55DE7" w:rsidR="007A0AC3" w:rsidRPr="00FA680B" w:rsidRDefault="008221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88-400</w:t>
      </w:r>
      <w:r w:rsidR="00B2090F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Żnin</w:t>
      </w:r>
    </w:p>
    <w:p w14:paraId="0795B2A5" w14:textId="3E932258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NIP: </w:t>
      </w:r>
      <w:r w:rsidR="009B236A" w:rsidRPr="009B236A">
        <w:rPr>
          <w:rFonts w:asciiTheme="majorHAnsi" w:eastAsia="Tahoma" w:hAnsiTheme="majorHAnsi" w:cstheme="majorHAnsi"/>
          <w:color w:val="000000"/>
          <w:sz w:val="20"/>
          <w:szCs w:val="20"/>
        </w:rPr>
        <w:t>5621810436</w:t>
      </w:r>
    </w:p>
    <w:p w14:paraId="14F3098F" w14:textId="3A8B521B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REGON: </w:t>
      </w:r>
      <w:r w:rsidR="00AE4727" w:rsidRPr="00AE4727">
        <w:rPr>
          <w:rFonts w:asciiTheme="majorHAnsi" w:eastAsia="Tahoma" w:hAnsiTheme="majorHAnsi" w:cstheme="majorHAnsi"/>
          <w:color w:val="000000"/>
          <w:sz w:val="20"/>
          <w:szCs w:val="20"/>
        </w:rPr>
        <w:t>382086445</w:t>
      </w:r>
    </w:p>
    <w:p w14:paraId="4AC26D78" w14:textId="1A508E1A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KRS: </w:t>
      </w:r>
      <w:r w:rsidR="00AE4727" w:rsidRPr="00AE4727">
        <w:rPr>
          <w:rFonts w:asciiTheme="majorHAnsi" w:eastAsia="Tahoma" w:hAnsiTheme="majorHAnsi" w:cstheme="majorHAnsi"/>
          <w:color w:val="000000"/>
          <w:sz w:val="20"/>
          <w:szCs w:val="20"/>
        </w:rPr>
        <w:t>0000891620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ab/>
      </w:r>
    </w:p>
    <w:p w14:paraId="1FEE691D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1843532E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Tryb udzielenia zamówienia</w:t>
      </w:r>
    </w:p>
    <w:p w14:paraId="69DAD6C9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Zgodnie z zasadą konkurencyjności opisaną w punk</w:t>
      </w:r>
      <w:r w:rsidR="00ED616F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cie</w:t>
      </w:r>
      <w:r w:rsidR="00545B71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</w:t>
      </w:r>
      <w:r w:rsidR="00ED616F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3.2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Wytycznych w zakresie kwalifikowalności wydatków w ramach Europejskiego Funduszu Rozwoju Regionalnego, Europejskiego Funduszu Społecznego oraz Funduszu Spójności na lata 20</w:t>
      </w:r>
      <w:r w:rsidR="00822112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21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-202</w:t>
      </w:r>
      <w:r w:rsidR="00822112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7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. </w:t>
      </w:r>
    </w:p>
    <w:p w14:paraId="0B6EDD60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372F651F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Zamawiający wszczyna postępowanie w trybie zapytania ofertowego z chwilą publikacji ogłoszenia w Bazie Konkurencyjności. </w:t>
      </w:r>
    </w:p>
    <w:p w14:paraId="30472769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34BFB61F" w14:textId="53EF4C15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W postępowaniu nie mają zastosowania przepisy ustawy z dnia </w:t>
      </w:r>
      <w:r w:rsidR="00B2090F">
        <w:rPr>
          <w:rFonts w:asciiTheme="majorHAnsi" w:eastAsia="Tahoma" w:hAnsiTheme="majorHAnsi" w:cstheme="majorHAnsi"/>
          <w:color w:val="000000"/>
          <w:sz w:val="20"/>
          <w:szCs w:val="20"/>
        </w:rPr>
        <w:t>11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</w:t>
      </w:r>
      <w:r w:rsidR="00B2090F">
        <w:rPr>
          <w:rFonts w:asciiTheme="majorHAnsi" w:eastAsia="Tahoma" w:hAnsiTheme="majorHAnsi" w:cstheme="majorHAnsi"/>
          <w:color w:val="000000"/>
          <w:sz w:val="20"/>
          <w:szCs w:val="20"/>
        </w:rPr>
        <w:t>września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20</w:t>
      </w:r>
      <w:r w:rsidR="00B2090F">
        <w:rPr>
          <w:rFonts w:asciiTheme="majorHAnsi" w:eastAsia="Tahoma" w:hAnsiTheme="majorHAnsi" w:cstheme="majorHAnsi"/>
          <w:color w:val="000000"/>
          <w:sz w:val="20"/>
          <w:szCs w:val="20"/>
        </w:rPr>
        <w:t>19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roku – Prawo zamówień publicznych (j.t. Dz.U. z 201</w:t>
      </w:r>
      <w:r w:rsidR="00B2090F">
        <w:rPr>
          <w:rFonts w:asciiTheme="majorHAnsi" w:eastAsia="Tahoma" w:hAnsiTheme="majorHAnsi" w:cstheme="majorHAnsi"/>
          <w:color w:val="000000"/>
          <w:sz w:val="20"/>
          <w:szCs w:val="20"/>
        </w:rPr>
        <w:t>9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r., poz. 2</w:t>
      </w:r>
      <w:r w:rsidR="00B2090F">
        <w:rPr>
          <w:rFonts w:asciiTheme="majorHAnsi" w:eastAsia="Tahoma" w:hAnsiTheme="majorHAnsi" w:cstheme="majorHAnsi"/>
          <w:color w:val="000000"/>
          <w:sz w:val="20"/>
          <w:szCs w:val="20"/>
        </w:rPr>
        <w:t>019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).</w:t>
      </w:r>
    </w:p>
    <w:p w14:paraId="39BA87F9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43FF2496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lastRenderedPageBreak/>
        <w:t>Opis przedmiotu zamówienia</w:t>
      </w:r>
    </w:p>
    <w:p w14:paraId="29F6C8DF" w14:textId="1E4691BB" w:rsidR="007A0AC3" w:rsidRPr="00FA680B" w:rsidRDefault="007220E4" w:rsidP="007C1C54">
      <w:pP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Przedmiotem zamówienia jest </w:t>
      </w:r>
      <w:r w:rsidR="007C1C54" w:rsidRPr="00FA680B">
        <w:rPr>
          <w:rFonts w:asciiTheme="majorHAnsi" w:eastAsia="Tahoma" w:hAnsiTheme="majorHAnsi" w:cstheme="majorHAnsi"/>
          <w:sz w:val="20"/>
          <w:szCs w:val="20"/>
        </w:rPr>
        <w:t>dostawa Sprzętu laboratoryjnego wykorzystywanego do prac B+R – narzędzi, zgodnie ze specyfikacją:</w:t>
      </w:r>
    </w:p>
    <w:p w14:paraId="080536D4" w14:textId="77777777" w:rsidR="00AE2CBA" w:rsidRPr="00FA680B" w:rsidRDefault="00AE2CBA" w:rsidP="007C1C54">
      <w:pP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</w:p>
    <w:tbl>
      <w:tblPr>
        <w:tblStyle w:val="Tabela-Siatka"/>
        <w:tblW w:w="9214" w:type="dxa"/>
        <w:tblInd w:w="250" w:type="dxa"/>
        <w:tblLook w:val="04A0" w:firstRow="1" w:lastRow="0" w:firstColumn="1" w:lastColumn="0" w:noHBand="0" w:noVBand="1"/>
      </w:tblPr>
      <w:tblGrid>
        <w:gridCol w:w="2410"/>
        <w:gridCol w:w="1117"/>
        <w:gridCol w:w="5687"/>
      </w:tblGrid>
      <w:tr w:rsidR="00AE2CBA" w:rsidRPr="00FA680B" w14:paraId="7DB2EDFD" w14:textId="77777777" w:rsidTr="00386603">
        <w:trPr>
          <w:trHeight w:val="580"/>
        </w:trPr>
        <w:tc>
          <w:tcPr>
            <w:tcW w:w="2410" w:type="dxa"/>
            <w:noWrap/>
          </w:tcPr>
          <w:p w14:paraId="3033629B" w14:textId="22D9DB7C" w:rsidR="00AE2CBA" w:rsidRPr="00FA680B" w:rsidRDefault="003306FC" w:rsidP="00AE2CBA">
            <w:pPr>
              <w:spacing w:line="276" w:lineRule="auto"/>
              <w:ind w:left="993" w:hanging="796"/>
              <w:rPr>
                <w:rFonts w:asciiTheme="majorHAnsi" w:eastAsia="Tahoma" w:hAnsiTheme="majorHAnsi" w:cstheme="majorHAnsi"/>
                <w:b/>
                <w:bCs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b/>
                <w:bCs/>
                <w:sz w:val="20"/>
                <w:szCs w:val="20"/>
              </w:rPr>
              <w:t>Przedmiot zamówienia:</w:t>
            </w:r>
          </w:p>
        </w:tc>
        <w:tc>
          <w:tcPr>
            <w:tcW w:w="1117" w:type="dxa"/>
            <w:noWrap/>
          </w:tcPr>
          <w:p w14:paraId="3E5AABE6" w14:textId="4A7E8191" w:rsidR="00AE2CBA" w:rsidRPr="00FA680B" w:rsidRDefault="003306FC" w:rsidP="00AE2CBA">
            <w:pPr>
              <w:spacing w:line="276" w:lineRule="auto"/>
              <w:ind w:left="1080" w:hanging="955"/>
              <w:rPr>
                <w:rFonts w:asciiTheme="majorHAnsi" w:eastAsia="Tahoma" w:hAnsiTheme="majorHAnsi" w:cstheme="majorHAnsi"/>
                <w:b/>
                <w:bCs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b/>
                <w:bCs/>
                <w:sz w:val="20"/>
                <w:szCs w:val="20"/>
              </w:rPr>
              <w:t>Ilość szt.</w:t>
            </w:r>
          </w:p>
        </w:tc>
        <w:tc>
          <w:tcPr>
            <w:tcW w:w="5687" w:type="dxa"/>
          </w:tcPr>
          <w:p w14:paraId="37817D5B" w14:textId="0D7BF83F" w:rsidR="00AE2CBA" w:rsidRPr="00FA680B" w:rsidRDefault="003306FC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b/>
                <w:bCs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b/>
                <w:bCs/>
                <w:sz w:val="20"/>
                <w:szCs w:val="20"/>
              </w:rPr>
              <w:t>Wymogi minimalne:</w:t>
            </w:r>
          </w:p>
        </w:tc>
      </w:tr>
      <w:tr w:rsidR="00AE2CBA" w:rsidRPr="00FA680B" w14:paraId="1CF58A4F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7DD81BB6" w14:textId="77777777" w:rsidR="00AE2CBA" w:rsidRPr="00FA680B" w:rsidRDefault="00AE2CBA" w:rsidP="00AE2CBA">
            <w:pPr>
              <w:spacing w:line="276" w:lineRule="auto"/>
              <w:ind w:left="993" w:hanging="796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Przyłbica</w:t>
            </w:r>
          </w:p>
        </w:tc>
        <w:tc>
          <w:tcPr>
            <w:tcW w:w="1117" w:type="dxa"/>
            <w:noWrap/>
            <w:hideMark/>
          </w:tcPr>
          <w:p w14:paraId="66AC00A3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6FA1603A" w14:textId="1CD1E7CA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Do spawania metodą TIG, z wymienną baterię (nie wbudowaną), parametr ściemniania, klasa optyczna - 1/1/1/1EN,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p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ole widzenia 100x60 mm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0C2D75F0" w14:textId="77777777" w:rsidTr="00386603">
        <w:trPr>
          <w:trHeight w:val="3480"/>
        </w:trPr>
        <w:tc>
          <w:tcPr>
            <w:tcW w:w="2410" w:type="dxa"/>
            <w:noWrap/>
            <w:hideMark/>
          </w:tcPr>
          <w:p w14:paraId="12C7A848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Zestaw kluczy nasadowych (w walizce)</w:t>
            </w:r>
          </w:p>
        </w:tc>
        <w:tc>
          <w:tcPr>
            <w:tcW w:w="1117" w:type="dxa"/>
            <w:noWrap/>
            <w:hideMark/>
          </w:tcPr>
          <w:p w14:paraId="108F92BF" w14:textId="77777777" w:rsidR="00AE2CBA" w:rsidRPr="00FA680B" w:rsidRDefault="00AE2CBA" w:rsidP="00AE2CBA">
            <w:pPr>
              <w:spacing w:line="276" w:lineRule="auto"/>
              <w:ind w:left="267" w:hanging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170674F4" w14:textId="77777777" w:rsidR="00386603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Grzechotki 1/4'', 3/8'', 1/2''</w:t>
            </w:r>
          </w:p>
          <w:p w14:paraId="6EFD72E4" w14:textId="6DC17108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Nasadki 1/2": 10, 11, 12, 13, 14, 15, 17, 19, 20, 21, 22, 24, 27, 30, 32mm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Nasadki długie 1/2": 16, 17, 18, 19, 22mm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Nasadki 1/2" torx: E20, E22, E24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Nasadki 3/8": 10, 11, 12, 13, 14, 15, 16, 17, 18, 19mm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Nasadki długie 3/8": 10, 11, 12, 13, 14, 15mm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Nasadki 3/8" torx: E10, E11, E12, E14, E16, E18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Nasadki 1/4": 4, 4.5, 5, 5.5, 6, 7, 8, 9, 10, 11, 12, 13, 14mm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Nasadki długie 1/4": 4, 5, 6, 7, 8, 9, 10mm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Nasadki 1/4" torx: E4, E5, E6, E7, E8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Grzechotka 1/2": 72T, 255mm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Grzechotka 3/8": 72T, 200mm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>Grzechotka 1/4": 72T, 155mm (wszystkie klucze zlokalizowane w jednej walizce). Wykonane ze stali chromo - vanadium.</w:t>
            </w:r>
          </w:p>
        </w:tc>
      </w:tr>
      <w:tr w:rsidR="00AE2CBA" w:rsidRPr="00FA680B" w14:paraId="0EC41019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47123B40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Zestaw kluczy płaskooczkowych </w:t>
            </w:r>
          </w:p>
        </w:tc>
        <w:tc>
          <w:tcPr>
            <w:tcW w:w="1117" w:type="dxa"/>
            <w:noWrap/>
            <w:hideMark/>
          </w:tcPr>
          <w:p w14:paraId="2177CF88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0C61609D" w14:textId="2E2B4A96" w:rsidR="00AE2CBA" w:rsidRPr="00FA680B" w:rsidRDefault="00AE2CBA" w:rsidP="00386603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Klucze płasko-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oczkowe w rozmiarach: 6; 7; 8; 9; 10; 11; 12; 13; 14; 15; 16; 17; 18; 19; 20; 21; 22; 23; 24; 26; 27; 28; 30; 32mm, Klucze oczkowe-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odgięte w rozmiarach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br/>
              <w:t xml:space="preserve">6x7; 8x9; 10x11; 12x13; 14x15; 16x17; 18x19; 20x22. Klucze w pokrowcu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z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biorczym. Wykonane ze stali chromo </w:t>
            </w:r>
            <w:r w:rsidR="00B2090F">
              <w:rPr>
                <w:rFonts w:asciiTheme="majorHAnsi" w:eastAsia="Tahoma" w:hAnsiTheme="majorHAnsi" w:cstheme="majorHAnsi"/>
                <w:sz w:val="20"/>
                <w:szCs w:val="20"/>
              </w:rPr>
              <w:t>–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vanadium</w:t>
            </w:r>
            <w:r w:rsidR="00B2090F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55A3B85B" w14:textId="77777777" w:rsidTr="00386603">
        <w:trPr>
          <w:trHeight w:val="1160"/>
        </w:trPr>
        <w:tc>
          <w:tcPr>
            <w:tcW w:w="2410" w:type="dxa"/>
            <w:noWrap/>
            <w:hideMark/>
          </w:tcPr>
          <w:p w14:paraId="12AA573E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Gwintowniki akumulatorowe</w:t>
            </w:r>
          </w:p>
        </w:tc>
        <w:tc>
          <w:tcPr>
            <w:tcW w:w="1117" w:type="dxa"/>
            <w:noWrap/>
            <w:hideMark/>
          </w:tcPr>
          <w:p w14:paraId="2BE195EE" w14:textId="77777777" w:rsidR="00AE2CBA" w:rsidRPr="00FA680B" w:rsidRDefault="00AE2CBA" w:rsidP="00AE2CBA">
            <w:pPr>
              <w:spacing w:line="276" w:lineRule="auto"/>
              <w:ind w:left="1080" w:hanging="95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08418BFA" w14:textId="0ABDF40D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GWINCIARKA AKUMULATOROWA 18V 2X5.5AH LIHD; ŁADOWARKA ASC 145;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r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odzaj akumulatora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LiHD,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n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apięcie akumulatora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18V,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p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ojemność akumulatora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2x 5.5Ah,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aksymalny moment obrotowy przy wkręcaniu miękkim 65Nm,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oment impulsowy 6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5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Nm,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aksymalny moment obrotowy przy wkręcaniu twardym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130Nm,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r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egulowany moment obrotowy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20Nm,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aks. średnica gwintu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M12 (1/2" UNC/UNF),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ś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rednica wiercenia w stali 13mm, Ø wiertła do drewna miękkiego 68mm,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p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rędkość obrotowa na biegu jałowym 0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-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550/ 0- 2000/min,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c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iężar z akumulatorem nie więcej niż 3,5 kg.</w:t>
            </w:r>
          </w:p>
        </w:tc>
      </w:tr>
      <w:tr w:rsidR="00AE2CBA" w:rsidRPr="00FA680B" w14:paraId="07D832EB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04E4604A" w14:textId="77777777" w:rsidR="00AE2CBA" w:rsidRPr="00FA680B" w:rsidRDefault="00AE2CBA" w:rsidP="00AE2CBA">
            <w:pPr>
              <w:spacing w:line="276" w:lineRule="auto"/>
              <w:ind w:left="1080" w:hanging="938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Zestaw ścisków</w:t>
            </w:r>
          </w:p>
        </w:tc>
        <w:tc>
          <w:tcPr>
            <w:tcW w:w="1117" w:type="dxa"/>
            <w:noWrap/>
            <w:hideMark/>
          </w:tcPr>
          <w:p w14:paraId="484EB992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0F31E2D8" w14:textId="4DD925B2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Zestaw ścisków szybko zaciskowych, w rozmiarach i ilościach: 2szt. 150mm, 2szt. 300mm, 2szt. 450mm, 2szt. 600mm, 2szt. 900mm, 2szt. 1250 mm</w:t>
            </w:r>
            <w:r w:rsidR="00B2090F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112CCA97" w14:textId="77777777" w:rsidTr="00386603">
        <w:trPr>
          <w:trHeight w:val="1286"/>
        </w:trPr>
        <w:tc>
          <w:tcPr>
            <w:tcW w:w="2410" w:type="dxa"/>
            <w:noWrap/>
            <w:hideMark/>
          </w:tcPr>
          <w:p w14:paraId="0C260890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Niszczarka (papieru)</w:t>
            </w:r>
          </w:p>
        </w:tc>
        <w:tc>
          <w:tcPr>
            <w:tcW w:w="1117" w:type="dxa"/>
            <w:noWrap/>
            <w:hideMark/>
          </w:tcPr>
          <w:p w14:paraId="2A232FB7" w14:textId="77777777" w:rsidR="00AE2CBA" w:rsidRPr="00FA680B" w:rsidRDefault="00AE2CBA" w:rsidP="00AE2CBA">
            <w:pPr>
              <w:spacing w:line="276" w:lineRule="auto"/>
              <w:ind w:left="1080" w:hanging="95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22EA4A30" w14:textId="54770E56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Wydajny mechanizm tnący, 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jednorazowe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cięcie kartek A4 w ilości od 8 do 12,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m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ożliwość cięcia kartek A4 z 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z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szywkami. Zasilanie 1 x 230V. </w:t>
            </w:r>
          </w:p>
        </w:tc>
      </w:tr>
      <w:tr w:rsidR="00AE2CBA" w:rsidRPr="00FA680B" w14:paraId="181C5A7D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277EF334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Stojak podporowy</w:t>
            </w:r>
          </w:p>
        </w:tc>
        <w:tc>
          <w:tcPr>
            <w:tcW w:w="1117" w:type="dxa"/>
            <w:noWrap/>
            <w:hideMark/>
          </w:tcPr>
          <w:p w14:paraId="4C44D95F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0853F64B" w14:textId="6062FDE5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Nośność  nie mniej niż 900kg,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w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ysokość robocza  580- 970mm,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lastRenderedPageBreak/>
              <w:t>s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zerokość rolki  nie mniej 360mm,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ś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rednica rolki  nie mniej niż 52mm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4F6117AA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12C82C94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lastRenderedPageBreak/>
              <w:t>Imadło maszynowe</w:t>
            </w:r>
          </w:p>
        </w:tc>
        <w:tc>
          <w:tcPr>
            <w:tcW w:w="1117" w:type="dxa"/>
            <w:noWrap/>
            <w:hideMark/>
          </w:tcPr>
          <w:p w14:paraId="2462E1F7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00837D0D" w14:textId="2F217F1B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Imadło precyzyjne stalowe 175/300,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s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zerokość szczęk  175mm,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r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ozstaw szczęk 300mm,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t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wardość powierzchni roboczych 58- 62HRC,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w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ykonane z wysokojakościowej stali stopowej. </w:t>
            </w:r>
          </w:p>
        </w:tc>
      </w:tr>
      <w:tr w:rsidR="00AE2CBA" w:rsidRPr="00FA680B" w14:paraId="050BA24A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56C9F2AB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Oprawki pod gwintowniki</w:t>
            </w:r>
          </w:p>
        </w:tc>
        <w:tc>
          <w:tcPr>
            <w:tcW w:w="1117" w:type="dxa"/>
            <w:noWrap/>
            <w:hideMark/>
          </w:tcPr>
          <w:p w14:paraId="1C6F7D23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687" w:type="dxa"/>
            <w:hideMark/>
          </w:tcPr>
          <w:p w14:paraId="7C207A95" w14:textId="3269815A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OPRAWKI DO GWINTOWNIKÓW ZE SPRZĘGŁEM PRZECIĄŻENIOWYM do gwinciarki 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pneumatycznej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wg normy DIN, 19/1- 1szt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.,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M8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-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1szt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.,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M10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-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1sz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t.,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M12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- 1szt.</w:t>
            </w:r>
          </w:p>
        </w:tc>
      </w:tr>
      <w:tr w:rsidR="00AE2CBA" w:rsidRPr="00FA680B" w14:paraId="79422F5E" w14:textId="77777777" w:rsidTr="00386603">
        <w:trPr>
          <w:trHeight w:val="1230"/>
        </w:trPr>
        <w:tc>
          <w:tcPr>
            <w:tcW w:w="2410" w:type="dxa"/>
            <w:noWrap/>
            <w:hideMark/>
          </w:tcPr>
          <w:p w14:paraId="2A5DA39C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Głowica frezerska</w:t>
            </w:r>
          </w:p>
        </w:tc>
        <w:tc>
          <w:tcPr>
            <w:tcW w:w="1117" w:type="dxa"/>
            <w:noWrap/>
            <w:hideMark/>
          </w:tcPr>
          <w:p w14:paraId="655A7063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59966233" w14:textId="3BD5D731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Głowica 1- średnica skrawania 80mm, maksymalna 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głębokość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skrawania 10mm, liczba płytek 6- 8, kąt przystawania narzędzia 90s, z chłodzeniem wewnętrznym, kierunek skrawania: prawy,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ś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rednica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otworu mocującego 27mm,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G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łowic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a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2-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ś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rednica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skrawania 40mm, maksymalna 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głębokość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skrawania 10mm, liczba płytek 4- 8, kąt przystawania narzędzia 90s, z chłodzeniem wewnętrznym, kierunek skrawania: prawy, 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ś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rednica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 otworu mocującego 27mm</w:t>
            </w:r>
            <w:r w:rsidR="00386603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2303957C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7B20181D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Uchwyt tokarski</w:t>
            </w:r>
          </w:p>
        </w:tc>
        <w:tc>
          <w:tcPr>
            <w:tcW w:w="1117" w:type="dxa"/>
            <w:noWrap/>
            <w:hideMark/>
          </w:tcPr>
          <w:p w14:paraId="194A1131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498233A1" w14:textId="5E531711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Uchwyt tokarski 4 szczękowy 160mm + 4 szczęki miękkie prawe</w:t>
            </w:r>
            <w:r w:rsidR="0074474B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4ABBFE9C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5B8A8266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Tuleje ER32</w:t>
            </w:r>
          </w:p>
        </w:tc>
        <w:tc>
          <w:tcPr>
            <w:tcW w:w="1117" w:type="dxa"/>
            <w:noWrap/>
            <w:hideMark/>
          </w:tcPr>
          <w:p w14:paraId="6BB9606A" w14:textId="2A21EEB5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3 kpl</w:t>
            </w:r>
            <w:r w:rsidR="003306FC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687" w:type="dxa"/>
            <w:hideMark/>
          </w:tcPr>
          <w:p w14:paraId="41B4A8C9" w14:textId="5656097F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3 kompletne zestawy tulejek zaciskowych o parametrach- </w:t>
            </w:r>
            <w:r w:rsidR="0074474B">
              <w:rPr>
                <w:rFonts w:asciiTheme="majorHAnsi" w:eastAsia="Tahoma" w:hAnsiTheme="majorHAnsi" w:cstheme="majorHAnsi"/>
                <w:sz w:val="20"/>
                <w:szCs w:val="20"/>
              </w:rPr>
              <w:t>t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ulejki ER 32, </w:t>
            </w:r>
            <w:r w:rsidR="0074474B">
              <w:rPr>
                <w:rFonts w:asciiTheme="majorHAnsi" w:eastAsia="Tahoma" w:hAnsiTheme="majorHAnsi" w:cstheme="majorHAnsi"/>
                <w:sz w:val="20"/>
                <w:szCs w:val="20"/>
              </w:rPr>
              <w:t>z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akres: 2mm, 4mm, 6mm, 8mm, 10mm, 12mm, 16mm, 18mm, 20mm</w:t>
            </w:r>
            <w:r w:rsidR="0074474B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2AD0493D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29238D7A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Trzpień</w:t>
            </w:r>
          </w:p>
        </w:tc>
        <w:tc>
          <w:tcPr>
            <w:tcW w:w="1117" w:type="dxa"/>
            <w:noWrap/>
            <w:hideMark/>
          </w:tcPr>
          <w:p w14:paraId="53F73CE3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4EE7B9D0" w14:textId="3DB74300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Trzpień 7332 40-16-37</w:t>
            </w:r>
            <w:r w:rsidR="0074474B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249A00DA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1396797C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Oprawa VDI </w:t>
            </w:r>
          </w:p>
        </w:tc>
        <w:tc>
          <w:tcPr>
            <w:tcW w:w="1117" w:type="dxa"/>
            <w:noWrap/>
            <w:hideMark/>
          </w:tcPr>
          <w:p w14:paraId="0EBF5919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5DC9DFC2" w14:textId="3A922620" w:rsidR="00AE2CBA" w:rsidRPr="00FA680B" w:rsidRDefault="00AE2CBA" w:rsidP="00AE2CBA">
            <w:pPr>
              <w:spacing w:line="276" w:lineRule="auto"/>
              <w:ind w:left="286" w:hanging="141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Oprawa VDI 20 E2 40X20</w:t>
            </w:r>
            <w:r w:rsidR="0074474B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AE2CBA" w:rsidRPr="00FA680B" w14:paraId="2AEF232C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431F69D6" w14:textId="77777777" w:rsidR="00AE2CBA" w:rsidRPr="00FA680B" w:rsidRDefault="00AE2CBA" w:rsidP="00AE2CBA">
            <w:pPr>
              <w:spacing w:line="276" w:lineRule="auto"/>
              <w:ind w:left="142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Oprawa nożowa poprzeczna </w:t>
            </w:r>
          </w:p>
        </w:tc>
        <w:tc>
          <w:tcPr>
            <w:tcW w:w="1117" w:type="dxa"/>
            <w:noWrap/>
            <w:hideMark/>
          </w:tcPr>
          <w:p w14:paraId="272C0AE3" w14:textId="77777777" w:rsidR="00AE2CBA" w:rsidRPr="00FA680B" w:rsidRDefault="00AE2CBA" w:rsidP="00AE2CBA">
            <w:pPr>
              <w:spacing w:line="276" w:lineRule="auto"/>
              <w:ind w:left="12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5FAA7FA1" w14:textId="13CD6C46" w:rsidR="00AE2CBA" w:rsidRPr="00FA680B" w:rsidRDefault="00AE2CBA" w:rsidP="00AE2CBA">
            <w:pPr>
              <w:spacing w:line="276" w:lineRule="auto"/>
              <w:ind w:left="145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Oprawa nożowa poprzeczna B2-40x25x44</w:t>
            </w:r>
            <w:r w:rsidR="0074474B">
              <w:rPr>
                <w:rFonts w:asciiTheme="majorHAnsi" w:eastAsia="Tahoma" w:hAnsiTheme="majorHAnsi" w:cstheme="majorHAnsi"/>
                <w:sz w:val="20"/>
                <w:szCs w:val="20"/>
              </w:rPr>
              <w:t>.</w:t>
            </w:r>
          </w:p>
        </w:tc>
      </w:tr>
      <w:tr w:rsidR="00FA680B" w:rsidRPr="00FA680B" w14:paraId="5256FAF3" w14:textId="77777777" w:rsidTr="00386603">
        <w:trPr>
          <w:trHeight w:val="870"/>
        </w:trPr>
        <w:tc>
          <w:tcPr>
            <w:tcW w:w="2410" w:type="dxa"/>
            <w:noWrap/>
            <w:hideMark/>
          </w:tcPr>
          <w:p w14:paraId="2BAC1072" w14:textId="77777777" w:rsidR="00FA680B" w:rsidRPr="00FA680B" w:rsidRDefault="00FA680B" w:rsidP="00FA680B">
            <w:pPr>
              <w:ind w:left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Wiertarko- wkrętarka bezszczotkowa</w:t>
            </w:r>
          </w:p>
        </w:tc>
        <w:tc>
          <w:tcPr>
            <w:tcW w:w="1117" w:type="dxa"/>
            <w:noWrap/>
            <w:hideMark/>
          </w:tcPr>
          <w:p w14:paraId="02FFAE19" w14:textId="77777777" w:rsidR="00FA680B" w:rsidRPr="00FA680B" w:rsidRDefault="00FA680B" w:rsidP="00FA680B">
            <w:pPr>
              <w:ind w:left="34" w:hanging="56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25C6AFE7" w14:textId="4DC71595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WIERTARKO-WKRĘTARKA AKUMULATOROWA 18V 2X4AH LI-POWER; ŁADOWARKA ASC 55. Napięcie akumulatora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18V,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aksymalny moment obrotowy przy wkręcaniu miękkim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65Nm,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aksymalny moment obrotowy przy wkręcaniu twardym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130Nm,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ś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rednica wiercenia w stali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13mm, Ø wiertła do drewna miękkiego: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68 mm. W skrzynce.</w:t>
            </w:r>
          </w:p>
        </w:tc>
      </w:tr>
      <w:tr w:rsidR="00FA680B" w:rsidRPr="00FA680B" w14:paraId="45EDB058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6DE61870" w14:textId="77777777" w:rsidR="00FA680B" w:rsidRPr="00FA680B" w:rsidRDefault="00FA680B" w:rsidP="00FA680B">
            <w:pPr>
              <w:ind w:firstLine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Szlifierka prosta</w:t>
            </w:r>
          </w:p>
        </w:tc>
        <w:tc>
          <w:tcPr>
            <w:tcW w:w="1117" w:type="dxa"/>
            <w:noWrap/>
            <w:hideMark/>
          </w:tcPr>
          <w:p w14:paraId="2F446A90" w14:textId="77777777" w:rsidR="00FA680B" w:rsidRPr="00FA680B" w:rsidRDefault="00FA680B" w:rsidP="00FA680B">
            <w:pPr>
              <w:ind w:hanging="53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6EB8E31D" w14:textId="617675B9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SZLIFIERKA PROSTA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rędkość obrotowa na biegu jałowym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granicach 2500- 8700/min,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oc znamionowa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nie mniej niż 950W,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rędkość obrotowa pod obciążeniem: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7200/min,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twór tulei mocującej: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 mm. </w:t>
            </w:r>
          </w:p>
        </w:tc>
      </w:tr>
      <w:tr w:rsidR="00FA680B" w:rsidRPr="00FA680B" w14:paraId="1AEF7365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4A92ED85" w14:textId="77777777" w:rsidR="00FA680B" w:rsidRPr="00FA680B" w:rsidRDefault="00FA680B" w:rsidP="00FA680B">
            <w:pPr>
              <w:ind w:left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Szlifierka kątowa z płaską głowicą</w:t>
            </w:r>
          </w:p>
        </w:tc>
        <w:tc>
          <w:tcPr>
            <w:tcW w:w="1117" w:type="dxa"/>
            <w:noWrap/>
            <w:hideMark/>
          </w:tcPr>
          <w:p w14:paraId="01AEE116" w14:textId="77777777" w:rsidR="00FA680B" w:rsidRPr="00FA680B" w:rsidRDefault="00FA680B" w:rsidP="00FA680B">
            <w:pPr>
              <w:ind w:hanging="53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2CFDAD55" w14:textId="0E461C78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SZLIFIERKA KĄTOWA Z PŁASKĄ GŁOWICĄ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 n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ajmniejszy możliwy kąt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nie więcej niż 39 °,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ś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rednica tarczy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150mm,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oc znamionowa nie mniej niż 1400W,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rędkość obrotowa na biegu jałowym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nie mniej 9600/min,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oment obrotowy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3.9Nm, beznarzędziowa wymiana tarczy dzięki nakrętce szybkomocującej. W </w:t>
            </w:r>
            <w:r w:rsidR="0074474B"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skrzynce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FA680B" w:rsidRPr="00FA680B" w14:paraId="4011D31E" w14:textId="77777777" w:rsidTr="00386603">
        <w:trPr>
          <w:trHeight w:val="870"/>
        </w:trPr>
        <w:tc>
          <w:tcPr>
            <w:tcW w:w="2410" w:type="dxa"/>
            <w:noWrap/>
            <w:hideMark/>
          </w:tcPr>
          <w:p w14:paraId="6F2AA82E" w14:textId="77777777" w:rsidR="00FA680B" w:rsidRPr="00FA680B" w:rsidRDefault="00FA680B" w:rsidP="00FA680B">
            <w:pPr>
              <w:ind w:firstLine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Pilnik taśmowy</w:t>
            </w:r>
          </w:p>
        </w:tc>
        <w:tc>
          <w:tcPr>
            <w:tcW w:w="1117" w:type="dxa"/>
            <w:noWrap/>
            <w:hideMark/>
          </w:tcPr>
          <w:p w14:paraId="5282D948" w14:textId="77777777" w:rsidR="00FA680B" w:rsidRPr="00FA680B" w:rsidRDefault="00FA680B" w:rsidP="00FA680B">
            <w:pPr>
              <w:ind w:hanging="53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00D680A4" w14:textId="46009382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PILNIK TAŚMOWY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 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oc znamionowa nie mniej niż 950W,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oc oddawana nie mniej niż 510W,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rędkość obwodowa na biegu jałowym 9- 20 m/s,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zerokość taśmy szlifierskiej 6- 19mm,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ługość taśmy szlifierskiej nie mniej niż 400mm,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ługość użytkowa ramienia taśmy szlifierskiej 90mm,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iężar bez kabla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1.8 - 2,5 kg, Długość kabla nie mniej 4 m</w:t>
            </w:r>
          </w:p>
        </w:tc>
      </w:tr>
      <w:tr w:rsidR="00FA680B" w:rsidRPr="00FA680B" w14:paraId="61EB2ECE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06DD00F1" w14:textId="77777777" w:rsidR="00FA680B" w:rsidRPr="00FA680B" w:rsidRDefault="00FA680B" w:rsidP="00FA680B">
            <w:pPr>
              <w:ind w:left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Uniwersalna szlifierka taśm  </w:t>
            </w:r>
          </w:p>
        </w:tc>
        <w:tc>
          <w:tcPr>
            <w:tcW w:w="1117" w:type="dxa"/>
            <w:noWrap/>
            <w:hideMark/>
          </w:tcPr>
          <w:p w14:paraId="6779D0BA" w14:textId="77777777" w:rsidR="00FA680B" w:rsidRPr="00FA680B" w:rsidRDefault="00FA680B" w:rsidP="00FA680B">
            <w:pPr>
              <w:ind w:hanging="53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47494BBB" w14:textId="0B5C2FE1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Szlifierka taśmowa- 75x 2000mm, prędkość obrotowa 1400/2800 obr./min.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ateriał korpusu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tal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ż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elazo,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apięcie [V] 400,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rędkość taśmy [m/min] 22.5/45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oc [W] 2500/3300, 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aga w granicach 70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90kg. </w:t>
            </w:r>
          </w:p>
        </w:tc>
      </w:tr>
      <w:tr w:rsidR="00FA680B" w:rsidRPr="00FA680B" w14:paraId="00DE2151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166F87EE" w14:textId="27324602" w:rsidR="00FA680B" w:rsidRPr="00FA680B" w:rsidRDefault="00FA680B" w:rsidP="00FA680B">
            <w:pPr>
              <w:ind w:left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OPALARKA AKUMULATOROWA</w:t>
            </w:r>
          </w:p>
        </w:tc>
        <w:tc>
          <w:tcPr>
            <w:tcW w:w="1117" w:type="dxa"/>
            <w:noWrap/>
            <w:hideMark/>
          </w:tcPr>
          <w:p w14:paraId="4FBE68F0" w14:textId="77777777" w:rsidR="00FA680B" w:rsidRPr="00FA680B" w:rsidRDefault="00FA680B" w:rsidP="00FA680B">
            <w:pPr>
              <w:ind w:hanging="53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56CC90DC" w14:textId="58C95CCC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OPALARKA AKUMULATOROWA 18V,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rzepływ powietrza: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200/ 160l/min,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emperatura powietrza: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300/ 500 °C,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odzaj akumulatora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LiHD,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apięcie akumulatora 18V, 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iczba ustawień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temperatury powietrza min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2,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iężar z akumulatorem 1.2- 1,5 kg. W skrzynce.</w:t>
            </w:r>
          </w:p>
        </w:tc>
      </w:tr>
      <w:tr w:rsidR="00FA680B" w:rsidRPr="00FA680B" w14:paraId="711613F8" w14:textId="77777777" w:rsidTr="00386603">
        <w:trPr>
          <w:trHeight w:val="870"/>
        </w:trPr>
        <w:tc>
          <w:tcPr>
            <w:tcW w:w="2410" w:type="dxa"/>
            <w:noWrap/>
            <w:hideMark/>
          </w:tcPr>
          <w:p w14:paraId="64B0C849" w14:textId="77777777" w:rsidR="00FA680B" w:rsidRPr="00FA680B" w:rsidRDefault="00FA680B" w:rsidP="00FA680B">
            <w:pPr>
              <w:ind w:firstLine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DALMIERZ LASEROWY</w:t>
            </w:r>
          </w:p>
        </w:tc>
        <w:tc>
          <w:tcPr>
            <w:tcW w:w="1117" w:type="dxa"/>
            <w:noWrap/>
            <w:hideMark/>
          </w:tcPr>
          <w:p w14:paraId="6D008AA2" w14:textId="77777777" w:rsidR="00FA680B" w:rsidRPr="00FA680B" w:rsidRDefault="00FA680B" w:rsidP="00FA680B">
            <w:pPr>
              <w:ind w:hanging="39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48D366A8" w14:textId="1AA521B4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DALMIERZ LASEROWY,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lasa urządzenia laserowego: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akres pomiaru: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05 - 60m,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iczba pomiarów na jednym naładowaniu baterii: min 5000,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topień ochrony min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IP 40,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ługość fali 635nm,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oc światła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&lt; 1 mW, </w:t>
            </w:r>
            <w:r w:rsidR="007447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akres pomiaru 0.05- 60m,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okładność pomiaru ± 1.5 mm, Li, 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czekiwane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unkcje lasera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ługość/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owierzchnia /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ubatura /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omiar ciągły (tracking) / Pitagoras 1 / Pitagoras 2 / Tracking min. / Tracking maks.</w:t>
            </w:r>
          </w:p>
        </w:tc>
      </w:tr>
      <w:tr w:rsidR="00FA680B" w:rsidRPr="00FA680B" w14:paraId="5626ACFB" w14:textId="77777777" w:rsidTr="00386603">
        <w:trPr>
          <w:trHeight w:val="1160"/>
        </w:trPr>
        <w:tc>
          <w:tcPr>
            <w:tcW w:w="2410" w:type="dxa"/>
            <w:noWrap/>
            <w:hideMark/>
          </w:tcPr>
          <w:p w14:paraId="7709023C" w14:textId="77777777" w:rsidR="00FA680B" w:rsidRPr="00FA680B" w:rsidRDefault="00FA680B" w:rsidP="00FA680B">
            <w:pPr>
              <w:ind w:left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WIERTARKO-WKRĘTARKA AKUMULATOROWA</w:t>
            </w:r>
          </w:p>
        </w:tc>
        <w:tc>
          <w:tcPr>
            <w:tcW w:w="1117" w:type="dxa"/>
            <w:noWrap/>
            <w:hideMark/>
          </w:tcPr>
          <w:p w14:paraId="2FA79C6D" w14:textId="77777777" w:rsidR="00FA680B" w:rsidRPr="00FA680B" w:rsidRDefault="00FA680B" w:rsidP="00FA680B">
            <w:pPr>
              <w:ind w:hanging="39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4C28D957" w14:textId="0F33BC7F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WIERTARKO-WKRĘTARKA AKUMULATOROWA 18V 2X5.2AH LI-POWER z ł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dowarką,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apięcie akumulatora: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18V,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aksymalny moment obrotowy przy wkręcaniu miękkim: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65Nm,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aksymalny moment obrotowy przy wkręcaniu twardym: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130Nm,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ś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rednica wiercenia w stali: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 mm, Ø wiertła do drewna miękkiego: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68mm,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egulowany moment obrotowy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1- 20Nm,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rędkość obrotowa na biegu jałowym 0- 550/ 0- 2000/min,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akres średnic mocowania w uchwycie wiertarskim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1.5 - 13 mm,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iężar bez akumulatora 1,7 - 2,0 kg. W skrzynce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FA680B" w:rsidRPr="00FA680B" w14:paraId="0B460A64" w14:textId="77777777" w:rsidTr="00386603">
        <w:trPr>
          <w:trHeight w:val="1450"/>
        </w:trPr>
        <w:tc>
          <w:tcPr>
            <w:tcW w:w="2410" w:type="dxa"/>
            <w:noWrap/>
            <w:hideMark/>
          </w:tcPr>
          <w:p w14:paraId="24C6F2E0" w14:textId="77777777" w:rsidR="00FA680B" w:rsidRPr="00FA680B" w:rsidRDefault="00FA680B" w:rsidP="00FA680B">
            <w:pPr>
              <w:ind w:left="17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GWINCIARKA AKUMULATOROWA</w:t>
            </w:r>
          </w:p>
        </w:tc>
        <w:tc>
          <w:tcPr>
            <w:tcW w:w="1117" w:type="dxa"/>
            <w:noWrap/>
            <w:hideMark/>
          </w:tcPr>
          <w:p w14:paraId="7F603F1B" w14:textId="77777777" w:rsidR="00FA680B" w:rsidRPr="00FA680B" w:rsidRDefault="00FA680B" w:rsidP="00FA680B">
            <w:pPr>
              <w:ind w:hanging="39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2A61F6CE" w14:textId="51EEE433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GB 18 LTX BL Q I (602362660) GWINCIARKA AKUMULATOROWA 18V 2X5.5AH LIHD; ŁADOWARKA ASC 145; METABOX 145</w:t>
            </w:r>
            <w:r w:rsidR="00B2090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odzaj akumulatora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LiHD,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apięcie akumulatora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18V,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ojemność akumulatora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2x 5.5Ah,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aksymalny moment obrotowy przy wkręcaniu miękkim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65Nm,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oment impulsowy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65Nm,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aksymalny moment obrotowy przy wkręcaniu twardym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130Nm,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egulowany moment obrotowy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1- 20Nm,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aks. średnica gwintu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M12 (1/2" UNC/UNF),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ś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rednica wiercenia w stali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13mm, Ø wiertła do drewna miękkiego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68mm,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rędkość obrotowa na biegu jałowym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0 -550/ 0- 2000/min,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iężar bez akumulatora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1.8kg,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iężar z akumulatorem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2.8kg. W skrzynce.</w:t>
            </w:r>
          </w:p>
        </w:tc>
      </w:tr>
      <w:tr w:rsidR="00FA680B" w:rsidRPr="00FA680B" w14:paraId="2CC2746C" w14:textId="77777777" w:rsidTr="00386603">
        <w:trPr>
          <w:trHeight w:val="870"/>
        </w:trPr>
        <w:tc>
          <w:tcPr>
            <w:tcW w:w="2410" w:type="dxa"/>
            <w:noWrap/>
            <w:hideMark/>
          </w:tcPr>
          <w:p w14:paraId="190951BB" w14:textId="77777777" w:rsidR="00FA680B" w:rsidRPr="00FA680B" w:rsidRDefault="00FA680B" w:rsidP="00FA680B">
            <w:pPr>
              <w:ind w:left="31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AKUMULATOROWA SZLIFIERKA KĄTOWA</w:t>
            </w:r>
          </w:p>
        </w:tc>
        <w:tc>
          <w:tcPr>
            <w:tcW w:w="1117" w:type="dxa"/>
            <w:noWrap/>
            <w:hideMark/>
          </w:tcPr>
          <w:p w14:paraId="15913DA4" w14:textId="77777777" w:rsidR="00FA680B" w:rsidRPr="00FA680B" w:rsidRDefault="00FA680B" w:rsidP="00FA680B">
            <w:pPr>
              <w:ind w:hanging="39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7FF673B9" w14:textId="73FD61C4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AKUMULATOROWA SZLIFIERKA KĄTOWA 18V 2X4AH LI-POWER; z </w:t>
            </w:r>
            <w:r w:rsidR="00304E41"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ładowarką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odzaj akumulatora Li-Power,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ojemność akumulatora 2x 4Ah,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apięcie akumulatora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18V,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ś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rednica tarczy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125mm,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aks. głębokość cięcia 34mm,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rędkość obrotowa na biegu jałowym 8500/min,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wint wrzeciona M14,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iężar bez akumulatora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1.4- 1,8kg,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skrzynce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FA680B" w:rsidRPr="00FA680B" w14:paraId="652F1896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3AF92296" w14:textId="77777777" w:rsidR="00FA680B" w:rsidRPr="00FA680B" w:rsidRDefault="00FA680B" w:rsidP="00FA680B">
            <w:pPr>
              <w:ind w:left="31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AKUMULATOROWY REFLEKTOR BUDOWLANY</w:t>
            </w:r>
          </w:p>
        </w:tc>
        <w:tc>
          <w:tcPr>
            <w:tcW w:w="1117" w:type="dxa"/>
            <w:noWrap/>
            <w:hideMark/>
          </w:tcPr>
          <w:p w14:paraId="02B095AF" w14:textId="77777777" w:rsidR="00FA680B" w:rsidRPr="00FA680B" w:rsidRDefault="00FA680B" w:rsidP="00FA680B">
            <w:pPr>
              <w:ind w:hanging="25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4B6B0F19" w14:textId="4A72223B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AKUMULATOROWY REFLEKTOR BUDOWLANY 18V; 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aks. strumień świetlny 4000lm,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aks. czas świecenia na 1 ładowaniu akumulatora- między 2 a 3 godziny,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iężar bez akumulatora 1,5 - 2,10 kg,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kumulator min 4Ah. W zestawie łącznie 2 akumulatory i 1 ładowarka.</w:t>
            </w:r>
          </w:p>
        </w:tc>
      </w:tr>
      <w:tr w:rsidR="00FA680B" w:rsidRPr="00FA680B" w14:paraId="11BB59FB" w14:textId="77777777" w:rsidTr="00386603">
        <w:trPr>
          <w:trHeight w:val="870"/>
        </w:trPr>
        <w:tc>
          <w:tcPr>
            <w:tcW w:w="2410" w:type="dxa"/>
            <w:noWrap/>
            <w:hideMark/>
          </w:tcPr>
          <w:p w14:paraId="5ACF0F8D" w14:textId="77777777" w:rsidR="00FA680B" w:rsidRPr="00FA680B" w:rsidRDefault="00FA680B" w:rsidP="00FA680B">
            <w:pPr>
              <w:ind w:left="31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NITOWNICA AKUMULATOROWA DO NITONAKRĘTEK</w:t>
            </w:r>
          </w:p>
        </w:tc>
        <w:tc>
          <w:tcPr>
            <w:tcW w:w="1117" w:type="dxa"/>
            <w:noWrap/>
            <w:hideMark/>
          </w:tcPr>
          <w:p w14:paraId="549484FD" w14:textId="77777777" w:rsidR="00FA680B" w:rsidRPr="00FA680B" w:rsidRDefault="00FA680B" w:rsidP="00FA680B">
            <w:pPr>
              <w:ind w:hanging="25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60BEC5E9" w14:textId="020D0D1A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AKUMULATOROWA NITOWNICA DO NITÓW ZRYWALNYCH 18V 2X4AH LIHD. Z ładowarką. Napięcie akumulatora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18V,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aks. nitonakrętki jednostronnie zamykane z aluminium M10,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aks. nitonakrętki jednostronnie zamykane ze stali M8,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aks. nitonakrętki jednostronnie zamykane ze stali nierdzewnej M6,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iła nitowania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15kN,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kok urządzenia 10mm,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iężar bez akumulatora 1,8 - 2,3kg. W skrzynce. </w:t>
            </w:r>
          </w:p>
        </w:tc>
      </w:tr>
      <w:tr w:rsidR="00FA680B" w:rsidRPr="00FA680B" w14:paraId="14DC7713" w14:textId="77777777" w:rsidTr="00386603">
        <w:trPr>
          <w:trHeight w:val="4245"/>
        </w:trPr>
        <w:tc>
          <w:tcPr>
            <w:tcW w:w="2410" w:type="dxa"/>
            <w:noWrap/>
            <w:hideMark/>
          </w:tcPr>
          <w:p w14:paraId="5B77BFF5" w14:textId="77777777" w:rsidR="00FA680B" w:rsidRPr="00FA680B" w:rsidRDefault="00FA680B" w:rsidP="00FA680B">
            <w:pPr>
              <w:ind w:left="31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Multimetr termowizyjny</w:t>
            </w:r>
          </w:p>
        </w:tc>
        <w:tc>
          <w:tcPr>
            <w:tcW w:w="1117" w:type="dxa"/>
            <w:noWrap/>
            <w:hideMark/>
          </w:tcPr>
          <w:p w14:paraId="1C0C08AD" w14:textId="77777777" w:rsidR="00FA680B" w:rsidRPr="00FA680B" w:rsidRDefault="00FA680B" w:rsidP="00FA680B">
            <w:pPr>
              <w:ind w:hanging="39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14B59331" w14:textId="2D531A21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Multimetr termowizyjny cęgowy 600A AC/DC z funkcją IGM FLIR z Bluetooth 160x120px do 150stC, 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ozdzielczość obrazu: 19200px (160x120),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etektor obrazujący: mikrobolometr FLIR Lepton</w:t>
            </w:r>
            <w:r w:rsidR="00B2090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(lub równoważny)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zułość termiczna (MRTD): ≤150mK,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misyjność: 4 wstępne ustawienia z możliwością regulacji,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okładność: ±3°C lub ±3,5%,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akres pomiaru: od -10°C do 150°C (od 14°F do 302°F),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strość obrazu: stała ogniskowa,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ole widzenia: HFOV (w poziomie) 50°, VFOV (w pionie) 38,6°,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akres widma podczerwieni: od 8μm do 14μm,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zęstotliwość odświeżania obrazu: 9Hz,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omiar temperatury: punkt centralny obrazu termowizyjnego,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tosunek odległości przyrządu do średnicy plamki pomiaru temperatury: 30:1,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okalizacja punktu pomiaru temperatury: wskaźnik laserowy klasy 1 i krzyż celowniczy na wyświetlaczu,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alety kolorów: żelazo, tęcza i odcienie szarości. Pomiar rzeczywistej wartości skutecznej (True RMS),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utomatyczny wybór zakresu z opcją regulacji manualnej,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apięcie AC/DC V: 1000V ±1,0%, VFD AC V: 1000V ±1,0%, AC/DC LoZ V: 1000V ±1,0%, Prąd AC/DC A: 600,0A ±2,0%, VFD AC A: 600,0A ±2,0%,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ozruchowy AC A: 600,0A ±3,0%,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artość graniczna prądu rozruchowego AC: min. 0,5A, czas integracji 100ms,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ezystancja: 6000Ω ±1,0%,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ojemność: 1000μF ±1,0%,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est diod: 1,5V ±1,5%,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akres częstotliwości: 60,00kHz ±0,1%,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róg kontroli ciągłości: od 30Ω do 150Ω,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unkcja Min/Maks,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zybkość pomiaru: 3 próbki na sekundę,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aksymalne rozwarcie cęgów: 35mm, 1250MCM,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dporność na upadek: 2m,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świetlenie: diody LED,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yświetlacz: 2,4" TFT,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ejestrowanie i przechowywanie danych: 10 zestawów pomiarów skalarnych 40K, 100 obrazów,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ransmisja danych: Bluetooth,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asilanie: 3x baterie AA (załączone) i akumulator Li-Poly. Automatyczne wyłączanie, 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</w:t>
            </w: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lasyfikacja kategorii bezpieczeństwa: CAT III 1000V, CAT IV 600V, </w:t>
            </w:r>
          </w:p>
        </w:tc>
      </w:tr>
      <w:tr w:rsidR="00FA680B" w:rsidRPr="00FA680B" w14:paraId="16DE0348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68D0D730" w14:textId="77777777" w:rsidR="00FA680B" w:rsidRPr="00FA680B" w:rsidRDefault="00FA680B" w:rsidP="00FA680B">
            <w:pPr>
              <w:ind w:left="45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Zestaw Narzędzi Elektr. 53szt.</w:t>
            </w:r>
          </w:p>
        </w:tc>
        <w:tc>
          <w:tcPr>
            <w:tcW w:w="1117" w:type="dxa"/>
            <w:noWrap/>
            <w:hideMark/>
          </w:tcPr>
          <w:p w14:paraId="2EDC2AA0" w14:textId="77777777" w:rsidR="00FA680B" w:rsidRPr="00FA680B" w:rsidRDefault="00FA680B" w:rsidP="00FA680B">
            <w:pPr>
              <w:ind w:hanging="10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 kpl.</w:t>
            </w:r>
          </w:p>
        </w:tc>
        <w:tc>
          <w:tcPr>
            <w:tcW w:w="5687" w:type="dxa"/>
            <w:hideMark/>
          </w:tcPr>
          <w:p w14:paraId="4F5BFBF7" w14:textId="34DB9857" w:rsidR="00FA680B" w:rsidRPr="00FA680B" w:rsidRDefault="00FA680B" w:rsidP="00FA680B">
            <w:pPr>
              <w:ind w:left="18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A68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Gedore 2979063 Zestaw Narzędzi, Wymiary produktu 25 x 15 x 5 cm; 6,8 kg, Rozmiar ‎53 Sztuki</w:t>
            </w:r>
            <w:r w:rsidR="00304E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386603" w14:paraId="6082B3E2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467FD302" w14:textId="77777777" w:rsidR="00386603" w:rsidRPr="00386603" w:rsidRDefault="00386603" w:rsidP="00386603">
            <w:pPr>
              <w:ind w:left="45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Argon 4.5 wiązka </w:t>
            </w:r>
          </w:p>
        </w:tc>
        <w:tc>
          <w:tcPr>
            <w:tcW w:w="1117" w:type="dxa"/>
            <w:noWrap/>
            <w:hideMark/>
          </w:tcPr>
          <w:p w14:paraId="30CED91B" w14:textId="77777777" w:rsidR="00386603" w:rsidRPr="00386603" w:rsidRDefault="00386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87" w:type="dxa"/>
            <w:hideMark/>
          </w:tcPr>
          <w:p w14:paraId="0A6BB16F" w14:textId="6770062A" w:rsidR="00386603" w:rsidRPr="00386603" w:rsidRDefault="00386603" w:rsidP="00386603">
            <w:pPr>
              <w:ind w:hanging="392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300 bar, 182m3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59DB8331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113BC6A9" w14:textId="77777777" w:rsidR="00386603" w:rsidRPr="00386603" w:rsidRDefault="00386603" w:rsidP="00386603">
            <w:pPr>
              <w:ind w:firstLine="45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Spoiwo / drut </w:t>
            </w:r>
          </w:p>
        </w:tc>
        <w:tc>
          <w:tcPr>
            <w:tcW w:w="1117" w:type="dxa"/>
            <w:noWrap/>
            <w:hideMark/>
          </w:tcPr>
          <w:p w14:paraId="3D4107E7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02D8FFD7" w14:textId="4FA95AD0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Spoiwo TIG 316-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grubość: 1mm - 10kg, / grubość1,2mm - 10kg / grubość: 1,6mm- 10kg, / grubość: 2mm - 10kg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3702C5B1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5544CF76" w14:textId="77777777" w:rsidR="00386603" w:rsidRPr="00386603" w:rsidRDefault="00386603" w:rsidP="00386603">
            <w:pPr>
              <w:ind w:left="45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Ostrzałka do elektrod Wolframowych</w:t>
            </w:r>
          </w:p>
        </w:tc>
        <w:tc>
          <w:tcPr>
            <w:tcW w:w="1117" w:type="dxa"/>
            <w:noWrap/>
            <w:hideMark/>
          </w:tcPr>
          <w:p w14:paraId="4BD7B87C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2DCD45FD" w14:textId="64474889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Do szlifowania elektrod od 1,0 - 4,0 mm, 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łynnie regulowany kąt szlifowania od 15 do 180°, 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recyzyjne prowadzenie elektrody, 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la elektrod o długości do 22 mm, mobilna z walizką i zestawem kluczy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3625FD27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24BD7CEC" w14:textId="77777777" w:rsidR="00386603" w:rsidRPr="00386603" w:rsidRDefault="00386603" w:rsidP="00386603">
            <w:pPr>
              <w:ind w:firstLine="45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Azot - 1300 kg </w:t>
            </w:r>
          </w:p>
        </w:tc>
        <w:tc>
          <w:tcPr>
            <w:tcW w:w="1117" w:type="dxa"/>
            <w:noWrap/>
            <w:hideMark/>
          </w:tcPr>
          <w:p w14:paraId="146E2634" w14:textId="77777777" w:rsidR="00386603" w:rsidRPr="00386603" w:rsidRDefault="00386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87" w:type="dxa"/>
            <w:hideMark/>
          </w:tcPr>
          <w:p w14:paraId="60BC62C5" w14:textId="1DB69453" w:rsidR="00386603" w:rsidRPr="00386603" w:rsidRDefault="00386603" w:rsidP="00386603">
            <w:pPr>
              <w:ind w:hanging="278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Azot ciekły, czystość 99,99%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0917D50F" w14:textId="77777777" w:rsidTr="00386603">
        <w:trPr>
          <w:trHeight w:val="870"/>
        </w:trPr>
        <w:tc>
          <w:tcPr>
            <w:tcW w:w="2410" w:type="dxa"/>
            <w:noWrap/>
            <w:hideMark/>
          </w:tcPr>
          <w:p w14:paraId="6A6D95FC" w14:textId="77777777" w:rsidR="00386603" w:rsidRPr="00386603" w:rsidRDefault="00386603" w:rsidP="00386603">
            <w:pPr>
              <w:ind w:firstLine="45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Płytki skrawające</w:t>
            </w:r>
          </w:p>
        </w:tc>
        <w:tc>
          <w:tcPr>
            <w:tcW w:w="1117" w:type="dxa"/>
            <w:noWrap/>
            <w:hideMark/>
          </w:tcPr>
          <w:p w14:paraId="091FD611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5687" w:type="dxa"/>
            <w:hideMark/>
          </w:tcPr>
          <w:p w14:paraId="25E7F994" w14:textId="3EFFA56E" w:rsidR="00304E41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1. Płytka kod ANSI - CNMG 432- 10szt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, - długość boku l -12,90mm, - grubość płytki s - 4,76mm, - promień płytki re- 0,80mm.</w:t>
            </w:r>
          </w:p>
          <w:p w14:paraId="256404C6" w14:textId="48D49802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2. Płytka kod ANSI - TPUN 321 - 10szt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-długość boku l - 16,50mm,- grubość płytki s - 3,18mm,- promień naroża re - 0,4mm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  <w:t>3. Płytka kod ANSI - DNMG 442 - 10szt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, - długość boku l -15,50 mm, - grubość płytki s - 6,35mm, - promień płytki re- 0,80mm.</w:t>
            </w:r>
          </w:p>
        </w:tc>
      </w:tr>
      <w:tr w:rsidR="00386603" w14:paraId="15AC2098" w14:textId="77777777" w:rsidTr="00386603">
        <w:trPr>
          <w:trHeight w:val="4060"/>
        </w:trPr>
        <w:tc>
          <w:tcPr>
            <w:tcW w:w="2410" w:type="dxa"/>
            <w:noWrap/>
            <w:hideMark/>
          </w:tcPr>
          <w:p w14:paraId="72554B9B" w14:textId="77777777" w:rsidR="00386603" w:rsidRPr="00386603" w:rsidRDefault="00386603" w:rsidP="00386603">
            <w:pPr>
              <w:ind w:firstLine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Zestaw wkrętaków</w:t>
            </w:r>
          </w:p>
        </w:tc>
        <w:tc>
          <w:tcPr>
            <w:tcW w:w="1117" w:type="dxa"/>
            <w:noWrap/>
            <w:hideMark/>
          </w:tcPr>
          <w:p w14:paraId="4D426B20" w14:textId="77777777" w:rsidR="00386603" w:rsidRPr="00386603" w:rsidRDefault="00386603" w:rsidP="00386603">
            <w:pPr>
              <w:ind w:hanging="5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0814812C" w14:textId="0AA7FF59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Zestaw wkrętaków w walizce 12 szt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 xml:space="preserve">., 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artowane końcówki magnetyczne zapewniają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ce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trwałość i pewny chwyt łba wkrętu. Rozmiary wkrętaków: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wkrętak krzyżowy PZ0, grot 75mm, długość całkowita 185mm;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wkrętak krzyżowy PZ1, grot sześciokątny 100mm, długość całkowita 205mm;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krzyżowy PZ1, grot sześciokątny 125mm, długość całkowita 245mm;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krzyżowy PH0, grot 75mm, długość całkowita 185mm;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krzyżowy PH1, grot sześciokątny 100mm, długość całkowita 205mm;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krzyżowy PH2, grot sześciokątny 125mm, długość całkowita 245mm;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płaski SL 0.3x2.50, grot 75mm, długość całkowita 180mm;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płaski SL 0,8x4, grot 100mm, długość całkowita 210mm;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płaski SL 1.0x5.5, grot 125mm, długość całkowita 235mm;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płaski SL 1.2x6.5, grot sześciokątny 125mm, długość całkowita 240mm;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płaski SL 1.2x6.5, grot sześciokątny 45mm, długość całkowita 100mm;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wkrętak płaski SL 1.2x8, grot sześciokątny 150mm, długość całkowita 265mm</w:t>
            </w:r>
          </w:p>
        </w:tc>
      </w:tr>
      <w:tr w:rsidR="00386603" w14:paraId="37F07B4A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076B361F" w14:textId="77777777" w:rsidR="00386603" w:rsidRPr="00386603" w:rsidRDefault="00386603" w:rsidP="00386603">
            <w:pPr>
              <w:ind w:firstLine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Taśma tnąca do piły</w:t>
            </w:r>
          </w:p>
        </w:tc>
        <w:tc>
          <w:tcPr>
            <w:tcW w:w="1117" w:type="dxa"/>
            <w:noWrap/>
            <w:hideMark/>
          </w:tcPr>
          <w:p w14:paraId="37080101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5687" w:type="dxa"/>
            <w:hideMark/>
          </w:tcPr>
          <w:p w14:paraId="3F058ECB" w14:textId="5343D43E" w:rsidR="00304E41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Taśma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32F70B67" w14:textId="65E13AAA" w:rsidR="00304E41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2720/27/0,9 p 8/12 - 2szt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BBDE2B6" w14:textId="77777777" w:rsidR="00304E41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2730/27/0,9 p 4/6 - 2szt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91B509D" w14:textId="20DD53B6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5090/34/1,1 p 8/12 - 1szt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2E5F85DD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1FB6A113" w14:textId="77777777" w:rsidR="00386603" w:rsidRPr="00386603" w:rsidRDefault="00386603" w:rsidP="00386603">
            <w:pPr>
              <w:ind w:left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Nóż tokarski do gwintowania</w:t>
            </w:r>
          </w:p>
        </w:tc>
        <w:tc>
          <w:tcPr>
            <w:tcW w:w="1117" w:type="dxa"/>
            <w:noWrap/>
            <w:hideMark/>
          </w:tcPr>
          <w:p w14:paraId="3C4E0B8D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191DFC2A" w14:textId="3F92DB4D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Nóż tokarski składany do gwintów wewnętrznych prawy.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 xml:space="preserve"> Ś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rednica trzonka D - 20mm, długość całkowita L - 200mm,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odległość od osi noża f - 13,7mm, średnica otworu D min - 24mm, 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 zestawie z 10 płytkami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13CF8747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219F4861" w14:textId="77777777" w:rsidR="00386603" w:rsidRPr="00386603" w:rsidRDefault="00386603" w:rsidP="00386603">
            <w:pPr>
              <w:ind w:firstLine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Nóż ucinak</w:t>
            </w:r>
          </w:p>
        </w:tc>
        <w:tc>
          <w:tcPr>
            <w:tcW w:w="1117" w:type="dxa"/>
            <w:noWrap/>
            <w:hideMark/>
          </w:tcPr>
          <w:p w14:paraId="76A86396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35017418" w14:textId="7EA223A6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Przecinak tokarski listwowy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 S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zerokość przecinania W - 2,2mm, długość całkowita L - 110,0mm,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wysokość H1 - 21mm, max długość cięcia Dm max - 75,0mm, wysokość listwy H - 26,0mm. W komplecie kluczyk i 10 płytek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0B96232C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1B855802" w14:textId="77777777" w:rsidR="00386603" w:rsidRPr="00386603" w:rsidRDefault="00386603" w:rsidP="00386603">
            <w:pPr>
              <w:ind w:left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Nóż tokarski do rowków</w:t>
            </w:r>
          </w:p>
        </w:tc>
        <w:tc>
          <w:tcPr>
            <w:tcW w:w="1117" w:type="dxa"/>
            <w:noWrap/>
            <w:hideMark/>
          </w:tcPr>
          <w:p w14:paraId="658DF474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11E7FB08" w14:textId="2D3E8261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25x20, szerokość trzonka 25mm, wysokość trzonka 20mm, długość całkowita 150mm,  długość części roboczej min. 30mm, + 5 płytek 2mm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4950FD9A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19D00A7B" w14:textId="77777777" w:rsidR="00386603" w:rsidRPr="00386603" w:rsidRDefault="00386603" w:rsidP="00386603">
            <w:pPr>
              <w:ind w:firstLine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Nóż wytaczak</w:t>
            </w:r>
          </w:p>
        </w:tc>
        <w:tc>
          <w:tcPr>
            <w:tcW w:w="1117" w:type="dxa"/>
            <w:noWrap/>
            <w:hideMark/>
          </w:tcPr>
          <w:p w14:paraId="5D2ECCB3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687" w:type="dxa"/>
            <w:hideMark/>
          </w:tcPr>
          <w:p w14:paraId="676FDBD2" w14:textId="05D827CC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Nóż tokarski wytaczak składany. 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Ś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rednica chwytowa d - 16mm, szerokość trzonka h - 15mm, długość części roboczej l - 30mm, długość całkowita L - 160mm, odległość do osi noża f - 11mm, otwór minimalny D min - 20mm. Dodatkowo 10 płytek w zestawie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295011DC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431DCF84" w14:textId="77777777" w:rsidR="00386603" w:rsidRPr="00386603" w:rsidRDefault="00386603" w:rsidP="00386603">
            <w:pPr>
              <w:ind w:firstLine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Frezy</w:t>
            </w:r>
          </w:p>
        </w:tc>
        <w:tc>
          <w:tcPr>
            <w:tcW w:w="1117" w:type="dxa"/>
            <w:noWrap/>
            <w:hideMark/>
          </w:tcPr>
          <w:p w14:paraId="69AEDB3C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687" w:type="dxa"/>
            <w:hideMark/>
          </w:tcPr>
          <w:p w14:paraId="59B13262" w14:textId="77777777" w:rsidR="00304E41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1. Frez trzpieniowy składany fi 20x150 + 10 płytek – 1szt.</w:t>
            </w:r>
          </w:p>
          <w:p w14:paraId="1E142485" w14:textId="77777777" w:rsidR="00304E41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2. Frez trzpieniowy składany fi 20x80 + 10 płytek – 1szt.</w:t>
            </w:r>
          </w:p>
          <w:p w14:paraId="741D764B" w14:textId="25AF05AA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Frez składany do gwintów M18 + 5 płytek skok 1,5 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388C5D4D" w14:textId="77777777" w:rsidTr="00386603">
        <w:trPr>
          <w:trHeight w:val="290"/>
        </w:trPr>
        <w:tc>
          <w:tcPr>
            <w:tcW w:w="2410" w:type="dxa"/>
            <w:noWrap/>
            <w:hideMark/>
          </w:tcPr>
          <w:p w14:paraId="7FC9ED13" w14:textId="77777777" w:rsidR="00386603" w:rsidRPr="00386603" w:rsidRDefault="00386603" w:rsidP="00386603">
            <w:pPr>
              <w:ind w:firstLine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Dyski do gradowania</w:t>
            </w:r>
          </w:p>
        </w:tc>
        <w:tc>
          <w:tcPr>
            <w:tcW w:w="1117" w:type="dxa"/>
            <w:noWrap/>
            <w:hideMark/>
          </w:tcPr>
          <w:p w14:paraId="0098EF09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687" w:type="dxa"/>
            <w:noWrap/>
            <w:hideMark/>
          </w:tcPr>
          <w:p w14:paraId="0616ECF0" w14:textId="6A27B06B" w:rsidR="00386603" w:rsidRPr="00386603" w:rsidRDefault="00386603" w:rsidP="00386603">
            <w:pPr>
              <w:ind w:left="189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Dysk do gratowania 155x2 z systemem montażowym Quick, kolor niebieski do stali nierdzewnej,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 xml:space="preserve"> c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hropowatość K80. Kompatybilny z maszyną Loewer Cleaner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86603" w14:paraId="1A826F62" w14:textId="77777777" w:rsidTr="00386603">
        <w:trPr>
          <w:trHeight w:val="580"/>
        </w:trPr>
        <w:tc>
          <w:tcPr>
            <w:tcW w:w="2410" w:type="dxa"/>
            <w:noWrap/>
            <w:hideMark/>
          </w:tcPr>
          <w:p w14:paraId="7BE41517" w14:textId="77777777" w:rsidR="00386603" w:rsidRPr="00386603" w:rsidRDefault="00386603" w:rsidP="00386603">
            <w:pPr>
              <w:ind w:firstLine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Nóż do gwintów zew.   </w:t>
            </w:r>
          </w:p>
        </w:tc>
        <w:tc>
          <w:tcPr>
            <w:tcW w:w="1117" w:type="dxa"/>
            <w:noWrap/>
            <w:hideMark/>
          </w:tcPr>
          <w:p w14:paraId="780A0432" w14:textId="77777777" w:rsidR="00386603" w:rsidRPr="00386603" w:rsidRDefault="00386603" w:rsidP="00386603">
            <w:pPr>
              <w:ind w:hanging="3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687" w:type="dxa"/>
            <w:hideMark/>
          </w:tcPr>
          <w:p w14:paraId="334FE149" w14:textId="79962F48" w:rsidR="00386603" w:rsidRPr="00386603" w:rsidRDefault="00386603" w:rsidP="00386603">
            <w:pPr>
              <w:ind w:left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 xml:space="preserve">Nóż tokarski do gwintów zewnętrznych prawy. 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386603">
              <w:rPr>
                <w:rFonts w:asciiTheme="majorHAnsi" w:hAnsiTheme="majorHAnsi" w:cstheme="majorHAnsi"/>
                <w:sz w:val="20"/>
                <w:szCs w:val="20"/>
              </w:rPr>
              <w:t>ysokość trzonka h - 25mm, szerokość trzonka b - 25mm, długość całkowita L - 150mm, szerokość f - 32mm</w:t>
            </w:r>
            <w:r w:rsidR="00304E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F8A23F0" w14:textId="77777777" w:rsidR="007C1C54" w:rsidRPr="00FA680B" w:rsidRDefault="007C1C54" w:rsidP="007C1C54">
      <w:pP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55734DBD" w14:textId="77777777" w:rsidR="007D1FBE" w:rsidRPr="00FA680B" w:rsidRDefault="007D1FBE" w:rsidP="00AE46A8">
      <w:pPr>
        <w:pStyle w:val="Akapitzlist"/>
        <w:spacing w:line="276" w:lineRule="auto"/>
        <w:ind w:left="1134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437A2E1E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Termin realizacji zamówienia</w:t>
      </w:r>
    </w:p>
    <w:p w14:paraId="4148024D" w14:textId="072F73E9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Termin realizacji </w:t>
      </w:r>
      <w:r w:rsidR="007C1C54" w:rsidRPr="00FA680B">
        <w:rPr>
          <w:rFonts w:asciiTheme="majorHAnsi" w:eastAsia="Tahoma" w:hAnsiTheme="majorHAnsi" w:cstheme="majorHAnsi"/>
          <w:sz w:val="20"/>
          <w:szCs w:val="20"/>
        </w:rPr>
        <w:t>dostawy</w:t>
      </w: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: </w:t>
      </w:r>
      <w:r w:rsidR="007C1C54" w:rsidRPr="00FA680B">
        <w:rPr>
          <w:rFonts w:asciiTheme="majorHAnsi" w:eastAsia="Tahoma" w:hAnsiTheme="majorHAnsi" w:cstheme="majorHAnsi"/>
          <w:sz w:val="20"/>
          <w:szCs w:val="20"/>
        </w:rPr>
        <w:t>do 31.10.2023.</w:t>
      </w:r>
      <w:r w:rsidR="00FC171C" w:rsidRPr="00FA680B">
        <w:rPr>
          <w:rFonts w:asciiTheme="majorHAnsi" w:eastAsia="Tahoma" w:hAnsiTheme="majorHAnsi" w:cstheme="majorHAnsi"/>
          <w:color w:val="FF0000"/>
          <w:sz w:val="20"/>
          <w:szCs w:val="20"/>
        </w:rPr>
        <w:t xml:space="preserve"> </w:t>
      </w:r>
    </w:p>
    <w:p w14:paraId="0EF2BA2A" w14:textId="77777777" w:rsidR="00265642" w:rsidRPr="00FA680B" w:rsidRDefault="00265642" w:rsidP="002656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bCs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Cs/>
          <w:color w:val="000000"/>
          <w:sz w:val="20"/>
          <w:szCs w:val="20"/>
        </w:rPr>
        <w:t>Miejsce dostawy: Jaroszewo 80, 88-400 Żnin</w:t>
      </w:r>
    </w:p>
    <w:p w14:paraId="028D0FCE" w14:textId="648EC56B" w:rsidR="007A0AC3" w:rsidRPr="00FA680B" w:rsidRDefault="00265642" w:rsidP="002656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bCs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Cs/>
          <w:color w:val="000000"/>
          <w:sz w:val="20"/>
          <w:szCs w:val="20"/>
        </w:rPr>
        <w:t>Zamówienie uważa się za wykonane w dniu podpisania przez Zamawiającego protokołu zdawczo-odbiorczego końcowego potwierdzającego wykonanie dostawy</w:t>
      </w:r>
      <w:r w:rsidR="002E440F">
        <w:rPr>
          <w:rFonts w:asciiTheme="majorHAnsi" w:eastAsia="Tahoma" w:hAnsiTheme="majorHAnsi" w:cstheme="majorHAnsi"/>
          <w:bCs/>
          <w:color w:val="000000"/>
          <w:sz w:val="20"/>
          <w:szCs w:val="20"/>
        </w:rPr>
        <w:t>.</w:t>
      </w:r>
    </w:p>
    <w:p w14:paraId="3B48D4E5" w14:textId="77777777" w:rsidR="00265642" w:rsidRPr="00FA680B" w:rsidRDefault="00265642" w:rsidP="002656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bCs/>
          <w:color w:val="000000"/>
          <w:sz w:val="20"/>
          <w:szCs w:val="20"/>
        </w:rPr>
      </w:pPr>
    </w:p>
    <w:p w14:paraId="78A3FE6A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Warunki udziału w postępowaniu oraz opis sposobu dokonywania oceny spełniania tych warunków</w:t>
      </w:r>
    </w:p>
    <w:p w14:paraId="46642BA2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0BEAD1D4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O udzielenie zamówienia mogą ubiegać się Wykonawcy, którzy:</w:t>
      </w:r>
    </w:p>
    <w:p w14:paraId="4A805BAD" w14:textId="77777777" w:rsidR="007A0AC3" w:rsidRPr="00FA680B" w:rsidRDefault="000E3C6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posiadają odpowiednią wiedzę i doświadczenie do realizacji zamówienia,</w:t>
      </w:r>
    </w:p>
    <w:p w14:paraId="395B0F5A" w14:textId="77777777" w:rsidR="00FC171C" w:rsidRPr="00FA680B" w:rsidRDefault="000E3C6F" w:rsidP="00FC171C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dysponują odpowiednim potencjałem technicznym oraz osobami zdolnymi do wykonania zamówienia. </w:t>
      </w:r>
    </w:p>
    <w:p w14:paraId="745AA4DC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bookmarkStart w:id="0" w:name="_heading=h.gjdgxs" w:colFirst="0" w:colLast="0"/>
      <w:bookmarkStart w:id="1" w:name="_heading=h.3znysh7" w:colFirst="0" w:colLast="0"/>
      <w:bookmarkEnd w:id="0"/>
      <w:bookmarkEnd w:id="1"/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Z udziału w postępowaniu wykluczone są podmioty powiązane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575A661B" w14:textId="77777777" w:rsidR="009E190A" w:rsidRPr="00FA680B" w:rsidRDefault="009E190A" w:rsidP="009E190A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07C0CAF" w14:textId="77777777" w:rsidR="009E190A" w:rsidRPr="00FA680B" w:rsidRDefault="009E190A" w:rsidP="009E190A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BAE452E" w14:textId="538F366E" w:rsidR="009E190A" w:rsidRPr="00FA680B" w:rsidRDefault="009E190A" w:rsidP="009E190A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BE865B9" w14:textId="09EBF1F7" w:rsidR="007C1C54" w:rsidRPr="00FA680B" w:rsidRDefault="007C1C54" w:rsidP="007C1C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ind w:left="1134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Ponadto wyklucza się z udziału w postępowaniu:</w:t>
      </w:r>
    </w:p>
    <w:p w14:paraId="5D934B63" w14:textId="77777777" w:rsidR="007C1C54" w:rsidRPr="00FA680B" w:rsidRDefault="007C1C54" w:rsidP="007C1C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ind w:left="1843" w:hanging="425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a) obywateli rosyjskich lub osób fizycznych lub prawnych, podmioty lub organy z siedzibą w Rosji;</w:t>
      </w:r>
    </w:p>
    <w:p w14:paraId="76C0055B" w14:textId="77777777" w:rsidR="007C1C54" w:rsidRPr="00FA680B" w:rsidRDefault="007C1C54" w:rsidP="007C1C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ind w:left="1418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b) osoby prawne, podmioty lub organy, do których prawa własności bezpośrednio lub pośrednio w ponad 50 % należą do podmiotu, o którym mowa w lit. a) niniejszego ustępu; lub</w:t>
      </w:r>
    </w:p>
    <w:p w14:paraId="3F9A5F95" w14:textId="77777777" w:rsidR="007C1C54" w:rsidRPr="00FA680B" w:rsidRDefault="007C1C54" w:rsidP="007C1C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ind w:left="1418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c) osoby fizyczne lub prawne, podmioty lub organy działające w imieniu lub pod kierunkiem podmiotu, o którym mowa w lit. a) lub b) niniejszego ustępu,</w:t>
      </w:r>
    </w:p>
    <w:p w14:paraId="2051A3C8" w14:textId="77777777" w:rsidR="007C1C54" w:rsidRPr="00FA680B" w:rsidRDefault="007C1C54" w:rsidP="007C1C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ind w:left="1418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 tym podwykonawców, dostawców lub podmioty, na których zdolności polega się w rozumieniu dyrektyw w sprawie zamówień publicznych, w przypadku gdy przypada na nich ponad 10 % wartości zamówienia.</w:t>
      </w:r>
    </w:p>
    <w:p w14:paraId="664655F8" w14:textId="77777777" w:rsidR="007C1C54" w:rsidRPr="00FA680B" w:rsidRDefault="007C1C54" w:rsidP="007C1C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ind w:left="1843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4087E04C" w14:textId="77777777" w:rsidR="007A0AC3" w:rsidRPr="00FA680B" w:rsidRDefault="000E3C6F">
      <w:pP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Ocena spełnienia warunków udziału w postępowaniu zostanie dokonana na podstawie informacji zawartych w formularzu oferty oraz na podstawie oświadczeń, których wzory stanowią odpowiednio Załącznik nr </w:t>
      </w:r>
      <w:r w:rsidR="00826530" w:rsidRPr="00FA680B">
        <w:rPr>
          <w:rFonts w:asciiTheme="majorHAnsi" w:eastAsia="Tahoma" w:hAnsiTheme="majorHAnsi" w:cstheme="majorHAnsi"/>
          <w:sz w:val="20"/>
          <w:szCs w:val="20"/>
        </w:rPr>
        <w:t>1</w:t>
      </w: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 i </w:t>
      </w:r>
      <w:r w:rsidR="00826530" w:rsidRPr="00FA680B">
        <w:rPr>
          <w:rFonts w:asciiTheme="majorHAnsi" w:eastAsia="Tahoma" w:hAnsiTheme="majorHAnsi" w:cstheme="majorHAnsi"/>
          <w:sz w:val="20"/>
          <w:szCs w:val="20"/>
        </w:rPr>
        <w:t>2</w:t>
      </w: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 do niniejszego Zapytania.</w:t>
      </w:r>
    </w:p>
    <w:p w14:paraId="18C58C05" w14:textId="77777777" w:rsidR="007A0AC3" w:rsidRPr="00FA680B" w:rsidRDefault="007A0AC3" w:rsidP="007C1C54">
      <w:pPr>
        <w:spacing w:line="276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6D995B34" w14:textId="77777777" w:rsidR="007A0AC3" w:rsidRPr="00FA680B" w:rsidRDefault="000E3C6F">
      <w:pPr>
        <w:spacing w:line="276" w:lineRule="auto"/>
        <w:ind w:left="1080"/>
        <w:jc w:val="both"/>
        <w:rPr>
          <w:rFonts w:asciiTheme="majorHAnsi" w:eastAsia="Tahoma" w:hAnsiTheme="majorHAnsi" w:cstheme="majorHAnsi"/>
          <w:b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sz w:val="20"/>
          <w:szCs w:val="20"/>
        </w:rPr>
        <w:t xml:space="preserve">Niespełnienie powyższych warunków udziału w postępowaniu skutkować będzie wykluczeniem z postępowania, a co za tym idzie odrzuceniem oferty. </w:t>
      </w:r>
    </w:p>
    <w:p w14:paraId="2F4CCD5B" w14:textId="77777777" w:rsidR="007A0AC3" w:rsidRPr="00FA680B" w:rsidRDefault="007A0AC3">
      <w:pPr>
        <w:spacing w:line="276" w:lineRule="auto"/>
        <w:ind w:left="1080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306EF274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76" w:lineRule="auto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Kryteria oceny i wyboru ofert</w:t>
      </w:r>
    </w:p>
    <w:p w14:paraId="2B58102D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Wybór najkorzystniejszej oferty nastąpi w oparciu o następujące kryterium:</w:t>
      </w:r>
    </w:p>
    <w:tbl>
      <w:tblPr>
        <w:tblStyle w:val="a0"/>
        <w:tblW w:w="8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4187"/>
        <w:gridCol w:w="3543"/>
      </w:tblGrid>
      <w:tr w:rsidR="007A0AC3" w:rsidRPr="00FA680B" w14:paraId="36A43CFB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6C71657D" w14:textId="77777777" w:rsidR="007A0AC3" w:rsidRPr="00FA680B" w:rsidRDefault="000E3C6F">
            <w:pPr>
              <w:spacing w:line="360" w:lineRule="auto"/>
              <w:jc w:val="center"/>
              <w:rPr>
                <w:rFonts w:asciiTheme="majorHAnsi" w:eastAsia="Tahoma" w:hAnsiTheme="majorHAnsi" w:cstheme="majorHAnsi"/>
                <w:b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4187" w:type="dxa"/>
            <w:shd w:val="clear" w:color="auto" w:fill="auto"/>
          </w:tcPr>
          <w:p w14:paraId="554F4FC4" w14:textId="77777777" w:rsidR="007A0AC3" w:rsidRPr="00FA680B" w:rsidRDefault="000E3C6F">
            <w:pPr>
              <w:spacing w:line="360" w:lineRule="auto"/>
              <w:rPr>
                <w:rFonts w:asciiTheme="majorHAnsi" w:eastAsia="Tahoma" w:hAnsiTheme="majorHAnsi" w:cstheme="majorHAnsi"/>
                <w:b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b/>
                <w:sz w:val="20"/>
                <w:szCs w:val="20"/>
              </w:rPr>
              <w:t>Nazwa</w:t>
            </w:r>
          </w:p>
        </w:tc>
        <w:tc>
          <w:tcPr>
            <w:tcW w:w="3543" w:type="dxa"/>
            <w:shd w:val="clear" w:color="auto" w:fill="auto"/>
          </w:tcPr>
          <w:p w14:paraId="5EB3E6A5" w14:textId="77777777" w:rsidR="007A0AC3" w:rsidRPr="00FA680B" w:rsidRDefault="000E3C6F">
            <w:pPr>
              <w:spacing w:line="360" w:lineRule="auto"/>
              <w:jc w:val="center"/>
              <w:rPr>
                <w:rFonts w:asciiTheme="majorHAnsi" w:eastAsia="Tahoma" w:hAnsiTheme="majorHAnsi" w:cstheme="majorHAnsi"/>
                <w:b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b/>
                <w:sz w:val="20"/>
                <w:szCs w:val="20"/>
              </w:rPr>
              <w:t>Waga kryterium – ilość punktów</w:t>
            </w:r>
          </w:p>
        </w:tc>
      </w:tr>
      <w:tr w:rsidR="0003751E" w:rsidRPr="00FA680B" w14:paraId="08FCBDEE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55C43862" w14:textId="77777777" w:rsidR="0003751E" w:rsidRPr="00FA680B" w:rsidRDefault="0003751E" w:rsidP="006F4A00">
            <w:pPr>
              <w:spacing w:line="360" w:lineRule="auto"/>
              <w:jc w:val="center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4187" w:type="dxa"/>
            <w:shd w:val="clear" w:color="auto" w:fill="auto"/>
          </w:tcPr>
          <w:p w14:paraId="63B3E137" w14:textId="20CE627C" w:rsidR="0003751E" w:rsidRPr="00FA680B" w:rsidRDefault="00640545" w:rsidP="006F4A00">
            <w:pPr>
              <w:spacing w:line="360" w:lineRule="auto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Cena </w:t>
            </w:r>
            <w:r w:rsidR="00AE2CBA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 xml:space="preserve">brutto </w:t>
            </w: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zaoferowana przez wykonawcę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D3DE1D" w14:textId="1D3C02D6" w:rsidR="0003751E" w:rsidRPr="00FA680B" w:rsidRDefault="00FC171C" w:rsidP="006F4A00">
            <w:pPr>
              <w:spacing w:line="360" w:lineRule="auto"/>
              <w:jc w:val="center"/>
              <w:rPr>
                <w:rFonts w:asciiTheme="majorHAnsi" w:eastAsia="Tahoma" w:hAnsiTheme="majorHAnsi" w:cstheme="majorHAnsi"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10</w:t>
            </w:r>
            <w:r w:rsidR="00640545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0</w:t>
            </w:r>
            <w:r w:rsidR="0003751E" w:rsidRPr="00FA680B">
              <w:rPr>
                <w:rFonts w:asciiTheme="majorHAnsi" w:eastAsia="Tahoma" w:hAnsiTheme="majorHAnsi" w:cstheme="majorHAnsi"/>
                <w:sz w:val="20"/>
                <w:szCs w:val="20"/>
              </w:rPr>
              <w:t>%</w:t>
            </w:r>
          </w:p>
        </w:tc>
      </w:tr>
      <w:tr w:rsidR="0003751E" w:rsidRPr="00FA680B" w14:paraId="4579241A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341807BB" w14:textId="77777777" w:rsidR="0003751E" w:rsidRPr="00FA680B" w:rsidRDefault="0003751E">
            <w:pPr>
              <w:spacing w:line="360" w:lineRule="auto"/>
              <w:rPr>
                <w:rFonts w:asciiTheme="majorHAnsi" w:eastAsia="Tahoma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87" w:type="dxa"/>
            <w:shd w:val="clear" w:color="auto" w:fill="auto"/>
          </w:tcPr>
          <w:p w14:paraId="18ED6F0C" w14:textId="77777777" w:rsidR="0003751E" w:rsidRPr="00FA680B" w:rsidRDefault="0003751E">
            <w:pPr>
              <w:spacing w:line="360" w:lineRule="auto"/>
              <w:rPr>
                <w:rFonts w:asciiTheme="majorHAnsi" w:eastAsia="Tahoma" w:hAnsiTheme="majorHAnsi" w:cstheme="majorHAnsi"/>
                <w:b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b/>
                <w:sz w:val="20"/>
                <w:szCs w:val="20"/>
              </w:rPr>
              <w:t>Razem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C9D83A" w14:textId="77777777" w:rsidR="0003751E" w:rsidRPr="00FA680B" w:rsidRDefault="0003751E">
            <w:pPr>
              <w:spacing w:line="360" w:lineRule="auto"/>
              <w:jc w:val="center"/>
              <w:rPr>
                <w:rFonts w:asciiTheme="majorHAnsi" w:eastAsia="Tahoma" w:hAnsiTheme="majorHAnsi" w:cstheme="majorHAnsi"/>
                <w:b/>
                <w:sz w:val="20"/>
                <w:szCs w:val="20"/>
              </w:rPr>
            </w:pPr>
            <w:r w:rsidRPr="00FA680B">
              <w:rPr>
                <w:rFonts w:asciiTheme="majorHAnsi" w:eastAsia="Tahoma" w:hAnsiTheme="majorHAnsi" w:cstheme="majorHAnsi"/>
                <w:b/>
                <w:sz w:val="20"/>
                <w:szCs w:val="20"/>
              </w:rPr>
              <w:t>100%</w:t>
            </w:r>
          </w:p>
        </w:tc>
      </w:tr>
    </w:tbl>
    <w:p w14:paraId="536ADD06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45AE1861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Sumaryczna ilość punktów uzyskanych przez oferenta zostanie ustalona wg wzoru:</w:t>
      </w:r>
    </w:p>
    <w:p w14:paraId="42EA1BFA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2A401E63" w14:textId="22458DFB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C = (Cmin/Cof) x </w:t>
      </w:r>
      <w:r w:rsidR="00FC171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10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0</w:t>
      </w:r>
    </w:p>
    <w:p w14:paraId="78DA8A43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gdzie: </w:t>
      </w:r>
    </w:p>
    <w:p w14:paraId="72F7256C" w14:textId="7D13B540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C 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ab/>
        <w:t xml:space="preserve">– ilość przyznanych punktów za kryterium cena za 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wykonaną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</w:t>
      </w:r>
      <w:r w:rsidR="00FA680B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dostaw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ę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danej oferty</w:t>
      </w:r>
    </w:p>
    <w:p w14:paraId="0E638E75" w14:textId="6BFFB566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Cmin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ab/>
        <w:t xml:space="preserve">– najniższa cena za 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wykonaną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</w:t>
      </w:r>
      <w:r w:rsidR="00FA680B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dostaw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ę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wśród składanych ofert</w:t>
      </w:r>
    </w:p>
    <w:p w14:paraId="1C5CD97A" w14:textId="2A9B9C3B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Cof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ab/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ab/>
        <w:t xml:space="preserve">– cena za 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wykonaną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</w:t>
      </w:r>
      <w:r w:rsidR="00FA680B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dostaw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ę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danej oferty</w:t>
      </w:r>
    </w:p>
    <w:p w14:paraId="310FCEED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46821704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07B9C1C8" w14:textId="3658468C" w:rsidR="007A0AC3" w:rsidRPr="00FA680B" w:rsidRDefault="000E3C6F">
      <w:pP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W ramach kryterium Cena brana będzie pod uwagę cena całkowita tzn. cena brutto za </w:t>
      </w:r>
      <w:r w:rsidR="0003544C" w:rsidRPr="00FA680B">
        <w:rPr>
          <w:rFonts w:asciiTheme="majorHAnsi" w:eastAsia="Tahoma" w:hAnsiTheme="majorHAnsi" w:cstheme="majorHAnsi"/>
          <w:sz w:val="20"/>
          <w:szCs w:val="20"/>
        </w:rPr>
        <w:t>wykonaną</w:t>
      </w: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FA680B" w:rsidRPr="00FA680B">
        <w:rPr>
          <w:rFonts w:asciiTheme="majorHAnsi" w:eastAsia="Tahoma" w:hAnsiTheme="majorHAnsi" w:cstheme="majorHAnsi"/>
          <w:sz w:val="20"/>
          <w:szCs w:val="20"/>
        </w:rPr>
        <w:t>dostaw</w:t>
      </w:r>
      <w:r w:rsidR="0003544C" w:rsidRPr="00FA680B">
        <w:rPr>
          <w:rFonts w:asciiTheme="majorHAnsi" w:eastAsia="Tahoma" w:hAnsiTheme="majorHAnsi" w:cstheme="majorHAnsi"/>
          <w:sz w:val="20"/>
          <w:szCs w:val="20"/>
        </w:rPr>
        <w:t>ę</w:t>
      </w:r>
      <w:r w:rsidRPr="00FA680B">
        <w:rPr>
          <w:rFonts w:asciiTheme="majorHAnsi" w:eastAsia="Tahoma" w:hAnsiTheme="majorHAnsi" w:cstheme="majorHAnsi"/>
          <w:sz w:val="20"/>
          <w:szCs w:val="20"/>
        </w:rPr>
        <w:t>, która powinna być podana w polskich złotych (PLN) wraz ze wszystkimi należnymi podatkami i obciążeniami ze strony Wykonawcy, w tym zawierać podatek VAT</w:t>
      </w:r>
      <w:r w:rsidR="0003544C" w:rsidRPr="00FA680B">
        <w:rPr>
          <w:rFonts w:asciiTheme="majorHAnsi" w:eastAsia="Tahoma" w:hAnsiTheme="majorHAnsi" w:cstheme="majorHAnsi"/>
          <w:sz w:val="20"/>
          <w:szCs w:val="20"/>
        </w:rPr>
        <w:t>.</w:t>
      </w:r>
    </w:p>
    <w:p w14:paraId="7C4BDA83" w14:textId="77777777" w:rsidR="007A0AC3" w:rsidRPr="00FA680B" w:rsidRDefault="007A0AC3">
      <w:pPr>
        <w:spacing w:line="276" w:lineRule="auto"/>
        <w:ind w:left="720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050AD106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Zamawiający wybierze najkorzystniejszą ofertę, która uzyska najwyższą ilość punktów, w oparciu o ustalone wyżej kryteria i podpisze umowę z wybranym wykonawcą.</w:t>
      </w:r>
    </w:p>
    <w:p w14:paraId="0B01895B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54FF280C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Mie</w:t>
      </w:r>
      <w:r w:rsidRPr="00FA680B">
        <w:rPr>
          <w:rFonts w:asciiTheme="majorHAnsi" w:eastAsia="Tahoma" w:hAnsiTheme="majorHAnsi" w:cstheme="majorHAnsi"/>
          <w:b/>
          <w:sz w:val="20"/>
          <w:szCs w:val="20"/>
        </w:rPr>
        <w:t>jsce, termin i sposób składania ofert</w:t>
      </w:r>
    </w:p>
    <w:p w14:paraId="5BB032D8" w14:textId="3462BC35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Oferty wypełnione na formularzu ofertowym stanowiącym Załącznik nr 1 należy składać w terminie do </w:t>
      </w:r>
      <w:r w:rsidR="00B2090F">
        <w:rPr>
          <w:rFonts w:asciiTheme="majorHAnsi" w:eastAsia="Tahoma" w:hAnsiTheme="majorHAnsi" w:cstheme="majorHAnsi"/>
          <w:b/>
          <w:sz w:val="20"/>
          <w:szCs w:val="20"/>
        </w:rPr>
        <w:t>0</w:t>
      </w:r>
      <w:r w:rsidR="00C5643E">
        <w:rPr>
          <w:rFonts w:asciiTheme="majorHAnsi" w:eastAsia="Tahoma" w:hAnsiTheme="majorHAnsi" w:cstheme="majorHAnsi"/>
          <w:b/>
          <w:sz w:val="20"/>
          <w:szCs w:val="20"/>
        </w:rPr>
        <w:t>3</w:t>
      </w:r>
      <w:r w:rsidR="003306FC" w:rsidRPr="00FA680B">
        <w:rPr>
          <w:rFonts w:asciiTheme="majorHAnsi" w:eastAsia="Tahoma" w:hAnsiTheme="majorHAnsi" w:cstheme="majorHAnsi"/>
          <w:b/>
          <w:sz w:val="20"/>
          <w:szCs w:val="20"/>
        </w:rPr>
        <w:t>.</w:t>
      </w:r>
      <w:r w:rsidR="00B2090F">
        <w:rPr>
          <w:rFonts w:asciiTheme="majorHAnsi" w:eastAsia="Tahoma" w:hAnsiTheme="majorHAnsi" w:cstheme="majorHAnsi"/>
          <w:b/>
          <w:sz w:val="20"/>
          <w:szCs w:val="20"/>
        </w:rPr>
        <w:t>10</w:t>
      </w:r>
      <w:r w:rsidRPr="00FA680B">
        <w:rPr>
          <w:rFonts w:asciiTheme="majorHAnsi" w:eastAsia="Tahoma" w:hAnsiTheme="majorHAnsi" w:cstheme="majorHAnsi"/>
          <w:b/>
          <w:sz w:val="20"/>
          <w:szCs w:val="20"/>
        </w:rPr>
        <w:t>.202</w:t>
      </w:r>
      <w:r w:rsidR="001458AD" w:rsidRPr="00FA680B">
        <w:rPr>
          <w:rFonts w:asciiTheme="majorHAnsi" w:eastAsia="Tahoma" w:hAnsiTheme="majorHAnsi" w:cstheme="majorHAnsi"/>
          <w:b/>
          <w:sz w:val="20"/>
          <w:szCs w:val="20"/>
        </w:rPr>
        <w:t>3</w:t>
      </w:r>
      <w:r w:rsidRPr="00FA680B">
        <w:rPr>
          <w:rFonts w:asciiTheme="majorHAnsi" w:eastAsia="Tahoma" w:hAnsiTheme="majorHAnsi" w:cstheme="majorHAnsi"/>
          <w:b/>
          <w:sz w:val="20"/>
          <w:szCs w:val="20"/>
        </w:rPr>
        <w:t xml:space="preserve"> r do godz. </w:t>
      </w:r>
      <w:r w:rsidR="00F8320D" w:rsidRPr="00FA680B">
        <w:rPr>
          <w:rFonts w:asciiTheme="majorHAnsi" w:eastAsia="Tahoma" w:hAnsiTheme="majorHAnsi" w:cstheme="majorHAnsi"/>
          <w:b/>
          <w:sz w:val="20"/>
          <w:szCs w:val="20"/>
        </w:rPr>
        <w:t>23</w:t>
      </w:r>
      <w:r w:rsidRPr="00FA680B">
        <w:rPr>
          <w:rFonts w:asciiTheme="majorHAnsi" w:eastAsia="Tahoma" w:hAnsiTheme="majorHAnsi" w:cstheme="majorHAnsi"/>
          <w:b/>
          <w:sz w:val="20"/>
          <w:szCs w:val="20"/>
        </w:rPr>
        <w:t>:</w:t>
      </w:r>
      <w:r w:rsidR="00F8320D" w:rsidRPr="00FA680B">
        <w:rPr>
          <w:rFonts w:asciiTheme="majorHAnsi" w:eastAsia="Tahoma" w:hAnsiTheme="majorHAnsi" w:cstheme="majorHAnsi"/>
          <w:b/>
          <w:sz w:val="20"/>
          <w:szCs w:val="20"/>
        </w:rPr>
        <w:t>59</w:t>
      </w:r>
      <w:r w:rsidR="00010129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FA680B">
        <w:rPr>
          <w:rFonts w:asciiTheme="majorHAnsi" w:eastAsia="Tahoma" w:hAnsiTheme="majorHAnsi" w:cstheme="majorHAnsi"/>
          <w:sz w:val="20"/>
          <w:szCs w:val="20"/>
        </w:rPr>
        <w:t>(liczy się data i godzina wpływu):</w:t>
      </w:r>
    </w:p>
    <w:p w14:paraId="119B642F" w14:textId="77777777" w:rsidR="007A0AC3" w:rsidRPr="00FA680B" w:rsidRDefault="000E3C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>poprzez Bazę Konkurencyjności</w:t>
      </w:r>
      <w:r w:rsidR="001458AD" w:rsidRPr="00FA680B">
        <w:rPr>
          <w:rFonts w:asciiTheme="majorHAnsi" w:eastAsia="Tahoma" w:hAnsiTheme="majorHAnsi" w:cstheme="majorHAnsi"/>
          <w:sz w:val="20"/>
          <w:szCs w:val="20"/>
        </w:rPr>
        <w:t xml:space="preserve"> pod adresem: https://bazakonkurencyjnosci.funduszeeuropejskie.gov.pl/</w:t>
      </w:r>
      <w:r w:rsidRPr="00FA680B">
        <w:rPr>
          <w:rFonts w:asciiTheme="majorHAnsi" w:eastAsia="Tahoma" w:hAnsiTheme="majorHAnsi" w:cstheme="majorHAnsi"/>
          <w:sz w:val="20"/>
          <w:szCs w:val="20"/>
        </w:rPr>
        <w:t>.</w:t>
      </w:r>
    </w:p>
    <w:p w14:paraId="115F1F24" w14:textId="77777777" w:rsidR="007A0AC3" w:rsidRPr="00FA680B" w:rsidRDefault="000E3C6F">
      <w:pP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Oferty złożone po tym terminie nie będą rozpatrywane. </w:t>
      </w:r>
    </w:p>
    <w:p w14:paraId="093A672C" w14:textId="61090222" w:rsidR="007A0AC3" w:rsidRPr="00FA680B" w:rsidRDefault="000E3C6F">
      <w:pPr>
        <w:spacing w:before="240"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>Brane będą pod uwagę jedynie kompletne oferty tj. oferty wraz z wymaganymi załącznikami, przy czym oferta oraz oświadczenie wykonawcy o spełnieniu warunków udziału w postępowaniu, muszą być wypełnione na wzorach stanowiących Załącznik nr 1</w:t>
      </w:r>
      <w:r w:rsidR="00FA680B" w:rsidRPr="00FA680B">
        <w:rPr>
          <w:rFonts w:asciiTheme="majorHAnsi" w:eastAsia="Tahoma" w:hAnsiTheme="majorHAnsi" w:cstheme="majorHAnsi"/>
          <w:sz w:val="20"/>
          <w:szCs w:val="20"/>
        </w:rPr>
        <w:t xml:space="preserve"> i</w:t>
      </w: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 2 do niniejszego zapytania.</w:t>
      </w:r>
    </w:p>
    <w:p w14:paraId="2094B437" w14:textId="77777777" w:rsidR="007A0AC3" w:rsidRPr="00FA680B" w:rsidRDefault="000E3C6F">
      <w:pPr>
        <w:spacing w:before="240"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 xml:space="preserve">Załączniki dodatkowe, niewymagane przez Zamawiającego niniejszym zapytaniem, nie będą stanowić powodu do odrzucenia oferty, przy czym nie będą one brane pod uwagę. </w:t>
      </w:r>
    </w:p>
    <w:p w14:paraId="03D2626C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391684CE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Warunki zmiany umowy</w:t>
      </w:r>
    </w:p>
    <w:p w14:paraId="2FF195D3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Zamawiający określa następujące okoliczności, które mogą powodować konieczność wprowadzenia zmian w treści zawartej umowy w stosunku do treści złożonej oferty:</w:t>
      </w:r>
    </w:p>
    <w:p w14:paraId="620D81F6" w14:textId="77777777" w:rsidR="007A0AC3" w:rsidRPr="00FA680B" w:rsidRDefault="000E3C6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Termin bądź zakres realizacji przedmiotu umowy może ulec zmianie w następujących sytuacjach:</w:t>
      </w:r>
    </w:p>
    <w:p w14:paraId="3B3FB10E" w14:textId="77777777" w:rsidR="007A0AC3" w:rsidRPr="00FA680B" w:rsidRDefault="000E3C6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15783523" w14:textId="77777777" w:rsidR="007A0AC3" w:rsidRPr="00FA680B" w:rsidRDefault="000E3C6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Wystąpienia okoliczności, których obiektywnie nie można było przewidzieć w chwili zawarcia umowy;</w:t>
      </w:r>
    </w:p>
    <w:p w14:paraId="3F9B4B65" w14:textId="77777777" w:rsidR="007A0AC3" w:rsidRPr="00FA680B" w:rsidRDefault="000E3C6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lastRenderedPageBreak/>
        <w:t>W przypadku, gdy zaistnieje inna, niemożliwa do przewidzenia w momencie zawarcia umowy okoliczność prawna, ekonomiczna, techniczna, lub wystąpi siła wyższa, za którą żadna ze stron nie ponosi odpowiedzialności, skutkująca brakiem możliwości należytego wykonania umowy zgodnie z zamówieniem.</w:t>
      </w:r>
    </w:p>
    <w:p w14:paraId="43A826B3" w14:textId="77777777" w:rsidR="007A0AC3" w:rsidRPr="00FA680B" w:rsidRDefault="007A0A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216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24E18608" w14:textId="77777777" w:rsidR="007A0AC3" w:rsidRPr="00FA680B" w:rsidRDefault="000E3C6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Wynagrodzenie Wykonawcy określone w umowie może ulec zmianom w następujących przypadkach:</w:t>
      </w:r>
    </w:p>
    <w:p w14:paraId="7ADFB50C" w14:textId="77777777" w:rsidR="007A0AC3" w:rsidRPr="00FA680B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 przypadku zmiany przepisów i regulacji prawno-podatkowych, uzyskanych przez Zamawiającego interpretacji podatkowych, skarbowych i wszelkich innych odgórnych decyzji powodujących zmianę kosztów wykonania umowy;</w:t>
      </w:r>
    </w:p>
    <w:p w14:paraId="73318CE2" w14:textId="77777777" w:rsidR="007A0AC3" w:rsidRPr="00FA680B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Zmiana obowiązującej stawki VAT – jeśli zmiana stawki VAT będzie powodować zmianę kosztów wykonania umowy po stronie Wykonawcy, Zamawiający dopuszcza możliwość zwiększenia/zmniejszenia wynagrodzenia o kwotę równą różnicy w kwocie podatku zapłaconego przez Wykonawcę.</w:t>
      </w:r>
    </w:p>
    <w:p w14:paraId="4EF6C04C" w14:textId="77777777" w:rsidR="007A0AC3" w:rsidRPr="00FA680B" w:rsidRDefault="007A0A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216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6B3C09BC" w14:textId="77777777" w:rsidR="007A0AC3" w:rsidRPr="00FA680B" w:rsidRDefault="000E3C6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Inne zmiany:</w:t>
      </w:r>
    </w:p>
    <w:p w14:paraId="794E613D" w14:textId="77777777" w:rsidR="007A0AC3" w:rsidRPr="00FA680B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 przypadku zmiany regulacji prawnych obowiązujących w dniu podpisania umowy z Wykonawcą, który będzie wnosił nowe wymagania co do sposobu realizacji jakiegokolwiek tematu ujętego przedmiotem zamówienia pod warunkiem, że nie będzie to związane ze zmianą zakresu i wartości przedmiotu zamówienia;</w:t>
      </w:r>
    </w:p>
    <w:p w14:paraId="4EF54963" w14:textId="77777777" w:rsidR="007A0AC3" w:rsidRPr="00FA680B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 przypadku otrzymania decyzji PARP zawierającej zmiany zakresu zadań, terminów realizacji czy też ustalającej dodatkowe postanowienia, do których Zamawiający zostanie zobowiązany;</w:t>
      </w:r>
    </w:p>
    <w:p w14:paraId="330D27EB" w14:textId="77777777" w:rsidR="007A0AC3" w:rsidRPr="00FA680B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Zmiana osób odpowiedzialnych za kontakty i nadzór nad realizacją przedmiotu umowy,</w:t>
      </w:r>
    </w:p>
    <w:p w14:paraId="1AC12AC1" w14:textId="77777777" w:rsidR="007A0AC3" w:rsidRPr="00FA680B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Wystąpienie oczywistych omyłek pisarskich i rachunkowych w treści umowy.</w:t>
      </w:r>
    </w:p>
    <w:p w14:paraId="7F91F36B" w14:textId="77777777" w:rsidR="007A0AC3" w:rsidRPr="00FA680B" w:rsidRDefault="007A0AC3">
      <w:pPr>
        <w:spacing w:line="276" w:lineRule="auto"/>
        <w:ind w:left="1134" w:firstLine="24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1D3450C0" w14:textId="77777777" w:rsidR="007A0AC3" w:rsidRPr="00FA680B" w:rsidRDefault="000E3C6F">
      <w:pPr>
        <w:spacing w:line="276" w:lineRule="auto"/>
        <w:ind w:left="1134" w:firstLine="24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>Zmiany, o których mowa powyżej dopuszczone będą wyłącznie pod warunkiem złożenia wniosku przez Wykonawcę i po akceptacji przez Zamawiającego, a ich wprowadzenie wymagać będzie formy pisemnej pod rygorem nieważności.</w:t>
      </w:r>
    </w:p>
    <w:p w14:paraId="7B0A9968" w14:textId="77777777" w:rsidR="007A0AC3" w:rsidRPr="00FA680B" w:rsidRDefault="007A0AC3">
      <w:pPr>
        <w:spacing w:line="276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60AC2BCE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Informacje dodatkowe</w:t>
      </w:r>
    </w:p>
    <w:p w14:paraId="1F30ABE6" w14:textId="77777777" w:rsidR="007A0AC3" w:rsidRPr="00FA680B" w:rsidRDefault="007A0AC3" w:rsidP="000354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293F5F03" w14:textId="77777777" w:rsidR="007A0AC3" w:rsidRPr="00FA680B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bookmarkStart w:id="2" w:name="_Hlk136951358"/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Sposób obliczania ceny oferty:</w:t>
      </w:r>
    </w:p>
    <w:p w14:paraId="7F2CC25D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Cena oferty Wykonawcy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umowy.</w:t>
      </w:r>
    </w:p>
    <w:p w14:paraId="7329668A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164FA69C" w14:textId="3756677A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 formularzu ofertowym podając cenę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,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Wykonawca wskazuje 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całkowit</w:t>
      </w:r>
      <w:r w:rsidR="00440229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ą 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cenę za 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wykonanie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</w:t>
      </w:r>
      <w:r w:rsidR="00FA680B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dostawy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, będącej przedmiotem zamówienia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.</w:t>
      </w:r>
    </w:p>
    <w:p w14:paraId="08B7667F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7EE3D5F9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W formularzu ofertowym wszystkie kwoty należy podać w PLN oraz zaokrąglać do 2 miejsc po przecinku. 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S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tawk</w:t>
      </w:r>
      <w:r w:rsidR="0003544C"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ę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podatku VAT należy obliczyć zgodnie z obowiązującymi przepisami. Wykonawca powinien sporządzić ofertę podając cenę netto, należny podatek VAT i cenę brutto.</w:t>
      </w:r>
    </w:p>
    <w:p w14:paraId="0594A85F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330C022E" w14:textId="77777777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Skutki finansowe błędnego obliczenia ceny, wynikające z nieuwzględnienia wszystkich okoliczności, które mogą wpływać na cenę, obciążają Wykonawcę.</w:t>
      </w:r>
    </w:p>
    <w:bookmarkEnd w:id="2"/>
    <w:p w14:paraId="6EBC64FE" w14:textId="77777777" w:rsidR="007A0AC3" w:rsidRPr="00FA680B" w:rsidRDefault="007A0AC3">
      <w:pP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4C7B4CA6" w14:textId="77777777" w:rsidR="007A0AC3" w:rsidRPr="00FA680B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Formularz oferty i załączniki do oferty w postaci: </w:t>
      </w:r>
    </w:p>
    <w:p w14:paraId="31385732" w14:textId="77777777" w:rsidR="007A0AC3" w:rsidRPr="00FA680B" w:rsidRDefault="000E3C6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oświadczenia wykonawcy o spełnieniu warunków udziału w postępowaniu, </w:t>
      </w:r>
    </w:p>
    <w:p w14:paraId="5975D94D" w14:textId="77777777" w:rsidR="007A0AC3" w:rsidRPr="00FA680B" w:rsidRDefault="000E3C6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lastRenderedPageBreak/>
        <w:t>kopii dokumentów potwierdzających spełnienie warunków udziału w postępowaniu (jeśli dotyczy),</w:t>
      </w:r>
    </w:p>
    <w:p w14:paraId="191E4B66" w14:textId="77777777" w:rsidR="007A0AC3" w:rsidRPr="00FA680B" w:rsidRDefault="000E3C6F">
      <w:pPr>
        <w:spacing w:line="276" w:lineRule="auto"/>
        <w:ind w:left="144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>muszą być podpisane przez upoważnionego(ych) przedstawiciela(i) Wykonawcy zgodnie z formą reprezentacji Wykonawcy określoną w dokumencie rejestrowym (ewidencyjnym) Wykonawcy. W przypadku, gdy ofertę w imieniu Wykonawcy podpisuje pełnomocnik (osoba nie umocowana do tych czynności w dokumentach rejestracyjnych Wykonawcy) należy do oferty dołączyć stosowne pełnomocnictwo. Pełnomocnictwo powinno być przedstawione w formie oryginału lub poświadczonej za zgodność z oryginałem kopii przez notariusza lub osoby, których uprawnienie do reprezentacji wynika z dokumentu rejestracyjnego (ewidencyjnego), zgodnie ze sposobem reprezentacji określonym w tych dokumentach.</w:t>
      </w:r>
    </w:p>
    <w:p w14:paraId="3A3F352A" w14:textId="77777777" w:rsidR="007A0AC3" w:rsidRPr="00FA680B" w:rsidRDefault="007A0AC3">
      <w:pP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25E74D13" w14:textId="77777777" w:rsidR="007A0AC3" w:rsidRPr="00FA680B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14:paraId="358489F3" w14:textId="77777777" w:rsidR="007A0AC3" w:rsidRPr="00FA680B" w:rsidRDefault="000E3C6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postępowanie obarczone jest niemożliwą do usunięcia wadą, </w:t>
      </w:r>
    </w:p>
    <w:p w14:paraId="38AD0406" w14:textId="77777777" w:rsidR="007A0AC3" w:rsidRPr="00FA680B" w:rsidRDefault="000E3C6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wystąpiła istotna zmiana okoliczności powodująca, że przeprowadzenie postępowania lub wykonanie zamówienia nie leży w interesie Zamawiającego.</w:t>
      </w:r>
    </w:p>
    <w:p w14:paraId="60801E5D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2E19BADD" w14:textId="77777777" w:rsidR="007A0AC3" w:rsidRPr="00FA680B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Zamawiający dopuszcza składanie ofert sporządzonych wyłącznie w języku polskim.</w:t>
      </w:r>
    </w:p>
    <w:p w14:paraId="2C228B66" w14:textId="77777777" w:rsidR="007A0AC3" w:rsidRPr="00FA680B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Zamawiający nie dopuszcza składania ofert częściowych. </w:t>
      </w:r>
    </w:p>
    <w:p w14:paraId="444A9D19" w14:textId="77777777" w:rsidR="007A0AC3" w:rsidRPr="00FA680B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Zamawiający nie dopuszcza składania ofert wariantowych. </w:t>
      </w:r>
    </w:p>
    <w:p w14:paraId="68B3B1E3" w14:textId="0201CC16" w:rsidR="007A0AC3" w:rsidRPr="00FA680B" w:rsidRDefault="000E3C6F" w:rsidP="009C528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Zamawiający nie przewiduje zamówień uzupełniających. </w:t>
      </w:r>
    </w:p>
    <w:p w14:paraId="5E3ABC7B" w14:textId="1C956F3C" w:rsidR="007A0AC3" w:rsidRPr="00FA680B" w:rsidRDefault="000E3C6F" w:rsidP="009C528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Wykonawca pozostaje związany ofertą przez okres 30 dni. Bieg terminu związania ofertą rozpoczyna się wraz z upływem terminu składania ofert.</w:t>
      </w:r>
    </w:p>
    <w:p w14:paraId="6E5C79F0" w14:textId="2D5D368C" w:rsidR="007A0AC3" w:rsidRPr="00FA680B" w:rsidRDefault="000E3C6F" w:rsidP="009C528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Wyniki rozstrzygnięcia wyboru oferty zostaną opublikowane w terminie 7 dni od daty zakończenia terminu składania ofert.</w:t>
      </w:r>
    </w:p>
    <w:p w14:paraId="301A66B3" w14:textId="77777777" w:rsidR="009C5285" w:rsidRPr="00FA680B" w:rsidRDefault="009C5285" w:rsidP="009C5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</w:p>
    <w:p w14:paraId="6CBEE844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Sposób udzielania informacji i wyjaśnień</w:t>
      </w:r>
    </w:p>
    <w:p w14:paraId="72E1711C" w14:textId="778859C4" w:rsidR="007A0AC3" w:rsidRPr="00FA680B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Szczegółowych informacji na temat przedmiotu zamówienia udziela </w:t>
      </w:r>
      <w:r w:rsidRPr="00FA680B">
        <w:rPr>
          <w:rFonts w:asciiTheme="majorHAnsi" w:eastAsia="Tahoma" w:hAnsiTheme="majorHAnsi" w:cstheme="majorHAnsi"/>
          <w:sz w:val="20"/>
          <w:szCs w:val="20"/>
        </w:rPr>
        <w:t>Pa</w:t>
      </w:r>
      <w:r w:rsidR="0003544C" w:rsidRPr="00FA680B">
        <w:rPr>
          <w:rFonts w:asciiTheme="majorHAnsi" w:eastAsia="Tahoma" w:hAnsiTheme="majorHAnsi" w:cstheme="majorHAnsi"/>
          <w:sz w:val="20"/>
          <w:szCs w:val="20"/>
        </w:rPr>
        <w:t xml:space="preserve">n </w:t>
      </w:r>
      <w:r w:rsidR="00D5451D" w:rsidRPr="00FA680B">
        <w:rPr>
          <w:rFonts w:asciiTheme="majorHAnsi" w:eastAsia="Tahoma" w:hAnsiTheme="majorHAnsi" w:cstheme="majorHAnsi"/>
          <w:sz w:val="20"/>
          <w:szCs w:val="20"/>
        </w:rPr>
        <w:t>Tomasz Szczeciński</w:t>
      </w:r>
    </w:p>
    <w:p w14:paraId="4DBD3B7A" w14:textId="5ADE26DB" w:rsidR="007A0AC3" w:rsidRPr="00FA680B" w:rsidRDefault="000E3C6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  <w:r w:rsidRPr="00FA680B">
        <w:rPr>
          <w:rFonts w:asciiTheme="majorHAnsi" w:eastAsia="Tahoma" w:hAnsiTheme="majorHAnsi" w:cstheme="majorHAnsi"/>
          <w:sz w:val="20"/>
          <w:szCs w:val="20"/>
        </w:rPr>
        <w:t>tel. +48</w:t>
      </w:r>
      <w:r w:rsidR="00D5451D" w:rsidRPr="00FA680B">
        <w:rPr>
          <w:rFonts w:asciiTheme="majorHAnsi" w:eastAsia="Tahoma" w:hAnsiTheme="majorHAnsi" w:cstheme="majorHAnsi"/>
          <w:sz w:val="20"/>
          <w:szCs w:val="20"/>
        </w:rPr>
        <w:t> 601 070 418</w:t>
      </w:r>
      <w:r w:rsidR="00006E8E" w:rsidRPr="00FA680B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</w:p>
    <w:p w14:paraId="6F9F9E58" w14:textId="35677D7E" w:rsidR="007A0AC3" w:rsidRPr="00FA680B" w:rsidRDefault="000E3C6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b/>
          <w:sz w:val="20"/>
          <w:szCs w:val="20"/>
          <w:lang w:val="en-GB"/>
        </w:rPr>
      </w:pPr>
      <w:r w:rsidRPr="00FA680B">
        <w:rPr>
          <w:rFonts w:asciiTheme="majorHAnsi" w:eastAsia="Tahoma" w:hAnsiTheme="majorHAnsi" w:cstheme="majorHAnsi"/>
          <w:sz w:val="20"/>
          <w:szCs w:val="20"/>
          <w:lang w:val="en-GB"/>
        </w:rPr>
        <w:t xml:space="preserve">e-mail: </w:t>
      </w:r>
      <w:hyperlink r:id="rId8" w:history="1">
        <w:r w:rsidR="009E190A" w:rsidRPr="00FA680B">
          <w:rPr>
            <w:rStyle w:val="Hipercze"/>
            <w:rFonts w:asciiTheme="majorHAnsi" w:eastAsia="Tahoma" w:hAnsiTheme="majorHAnsi" w:cstheme="majorHAnsi"/>
            <w:sz w:val="20"/>
            <w:szCs w:val="20"/>
            <w:lang w:val="en-GB"/>
          </w:rPr>
          <w:t>t.szczecinski@mech-masz.com.pl</w:t>
        </w:r>
      </w:hyperlink>
    </w:p>
    <w:p w14:paraId="598A8CCE" w14:textId="77777777" w:rsidR="007A0AC3" w:rsidRPr="00FA680B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30"/>
        <w:jc w:val="both"/>
        <w:rPr>
          <w:rFonts w:asciiTheme="majorHAnsi" w:eastAsia="Tahoma" w:hAnsiTheme="majorHAnsi" w:cstheme="majorHAnsi"/>
          <w:b/>
          <w:color w:val="000000"/>
          <w:sz w:val="20"/>
          <w:szCs w:val="20"/>
          <w:lang w:val="en-GB"/>
        </w:rPr>
      </w:pPr>
    </w:p>
    <w:p w14:paraId="334897F9" w14:textId="77777777" w:rsidR="007A0AC3" w:rsidRPr="00FA680B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Theme="majorHAnsi" w:eastAsia="Tahoma" w:hAnsiTheme="majorHAnsi" w:cstheme="majorHAnsi"/>
          <w:b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>Załączniki do zapytania ofertowego:</w:t>
      </w:r>
    </w:p>
    <w:p w14:paraId="02FAFCD5" w14:textId="77777777" w:rsidR="007A0AC3" w:rsidRPr="00FA680B" w:rsidRDefault="000E3C6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 xml:space="preserve">Załącznik nr 1 - 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Formularz oferty, </w:t>
      </w:r>
    </w:p>
    <w:p w14:paraId="71C234E4" w14:textId="77777777" w:rsidR="007A0AC3" w:rsidRPr="00FA680B" w:rsidRDefault="000E3C6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FA680B">
        <w:rPr>
          <w:rFonts w:asciiTheme="majorHAnsi" w:eastAsia="Tahoma" w:hAnsiTheme="majorHAnsi" w:cstheme="majorHAnsi"/>
          <w:b/>
          <w:color w:val="000000"/>
          <w:sz w:val="20"/>
          <w:szCs w:val="20"/>
        </w:rPr>
        <w:t xml:space="preserve">Załącznik nr 2 - </w:t>
      </w:r>
      <w:r w:rsidRPr="00FA680B">
        <w:rPr>
          <w:rFonts w:asciiTheme="majorHAnsi" w:eastAsia="Tahoma" w:hAnsiTheme="majorHAnsi" w:cstheme="majorHAnsi"/>
          <w:color w:val="000000"/>
          <w:sz w:val="20"/>
          <w:szCs w:val="20"/>
        </w:rPr>
        <w:t>Oświadczenie wykonawcy.</w:t>
      </w:r>
    </w:p>
    <w:p w14:paraId="427413E7" w14:textId="77777777" w:rsidR="007A0AC3" w:rsidRPr="00FA680B" w:rsidRDefault="007A0AC3">
      <w:pPr>
        <w:spacing w:line="276" w:lineRule="auto"/>
        <w:rPr>
          <w:rFonts w:asciiTheme="majorHAnsi" w:eastAsia="Calibri" w:hAnsiTheme="majorHAnsi" w:cstheme="majorHAnsi"/>
        </w:rPr>
      </w:pPr>
    </w:p>
    <w:p w14:paraId="7A2C663F" w14:textId="77777777" w:rsidR="007A0AC3" w:rsidRPr="00FA680B" w:rsidRDefault="007A0AC3">
      <w:pPr>
        <w:widowControl w:val="0"/>
        <w:rPr>
          <w:rFonts w:asciiTheme="majorHAnsi" w:eastAsia="Tahoma" w:hAnsiTheme="majorHAnsi" w:cstheme="majorHAnsi"/>
          <w:b/>
          <w:sz w:val="20"/>
          <w:szCs w:val="20"/>
        </w:rPr>
      </w:pPr>
    </w:p>
    <w:p w14:paraId="145B7D38" w14:textId="77777777" w:rsidR="007A0AC3" w:rsidRPr="00FA680B" w:rsidRDefault="007A0AC3">
      <w:pPr>
        <w:widowControl w:val="0"/>
        <w:rPr>
          <w:rFonts w:asciiTheme="majorHAnsi" w:eastAsia="Tahoma" w:hAnsiTheme="majorHAnsi" w:cstheme="majorHAnsi"/>
          <w:sz w:val="20"/>
          <w:szCs w:val="20"/>
        </w:rPr>
      </w:pPr>
    </w:p>
    <w:sectPr w:rsidR="007A0AC3" w:rsidRPr="00FA680B" w:rsidSect="000F67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134" w:bottom="1134" w:left="1134" w:header="454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89CA" w14:textId="77777777" w:rsidR="006D4F41" w:rsidRDefault="006D4F41">
      <w:r>
        <w:separator/>
      </w:r>
    </w:p>
  </w:endnote>
  <w:endnote w:type="continuationSeparator" w:id="0">
    <w:p w14:paraId="2F675277" w14:textId="77777777" w:rsidR="006D4F41" w:rsidRDefault="006D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BC0B" w14:textId="77777777" w:rsidR="007A0AC3" w:rsidRDefault="007A0A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388B" w14:textId="77777777" w:rsidR="007A0AC3" w:rsidRDefault="000E3C6F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Strona </w:t>
    </w:r>
    <w:r w:rsidR="000F67B5"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 w:rsidR="000F67B5">
      <w:rPr>
        <w:rFonts w:ascii="Arial" w:eastAsia="Arial" w:hAnsi="Arial" w:cs="Arial"/>
        <w:b/>
        <w:sz w:val="18"/>
        <w:szCs w:val="18"/>
      </w:rPr>
      <w:fldChar w:fldCharType="separate"/>
    </w:r>
    <w:r w:rsidR="00CB1975">
      <w:rPr>
        <w:rFonts w:ascii="Arial" w:eastAsia="Arial" w:hAnsi="Arial" w:cs="Arial"/>
        <w:b/>
        <w:noProof/>
        <w:sz w:val="18"/>
        <w:szCs w:val="18"/>
      </w:rPr>
      <w:t>1</w:t>
    </w:r>
    <w:r w:rsidR="000F67B5"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z </w:t>
    </w:r>
    <w:r w:rsidR="000F67B5"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 w:rsidR="000F67B5">
      <w:rPr>
        <w:rFonts w:ascii="Arial" w:eastAsia="Arial" w:hAnsi="Arial" w:cs="Arial"/>
        <w:b/>
        <w:sz w:val="18"/>
        <w:szCs w:val="18"/>
      </w:rPr>
      <w:fldChar w:fldCharType="separate"/>
    </w:r>
    <w:r w:rsidR="00CB1975">
      <w:rPr>
        <w:rFonts w:ascii="Arial" w:eastAsia="Arial" w:hAnsi="Arial" w:cs="Arial"/>
        <w:b/>
        <w:noProof/>
        <w:sz w:val="18"/>
        <w:szCs w:val="18"/>
      </w:rPr>
      <w:t>6</w:t>
    </w:r>
    <w:r w:rsidR="000F67B5">
      <w:rPr>
        <w:rFonts w:ascii="Arial" w:eastAsia="Arial" w:hAnsi="Arial" w:cs="Arial"/>
        <w:b/>
        <w:sz w:val="18"/>
        <w:szCs w:val="18"/>
      </w:rPr>
      <w:fldChar w:fldCharType="end"/>
    </w:r>
  </w:p>
  <w:p w14:paraId="6C8D1AB7" w14:textId="77777777" w:rsidR="007A0AC3" w:rsidRDefault="007A0AC3">
    <w:pP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833C" w14:textId="77777777" w:rsidR="007A0AC3" w:rsidRDefault="007A0A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79B5" w14:textId="77777777" w:rsidR="006D4F41" w:rsidRDefault="006D4F41">
      <w:r>
        <w:separator/>
      </w:r>
    </w:p>
  </w:footnote>
  <w:footnote w:type="continuationSeparator" w:id="0">
    <w:p w14:paraId="445F8A2E" w14:textId="77777777" w:rsidR="006D4F41" w:rsidRDefault="006D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DE9F" w14:textId="77777777" w:rsidR="007A0AC3" w:rsidRDefault="007A0A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F7C1" w14:textId="77777777" w:rsidR="007A0AC3" w:rsidRDefault="007F5C3E" w:rsidP="007F5C3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23CB1EC" wp14:editId="2D827344">
          <wp:extent cx="5715000" cy="514350"/>
          <wp:effectExtent l="0" t="0" r="0" b="0"/>
          <wp:docPr id="832973149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73149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79050" w14:textId="77777777" w:rsidR="007A0AC3" w:rsidRDefault="007A0AC3">
    <w:pPr>
      <w:tabs>
        <w:tab w:val="left" w:pos="7417"/>
      </w:tabs>
      <w:spacing w:line="480" w:lineRule="auto"/>
      <w:ind w:left="-964" w:righ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669A" w14:textId="77777777" w:rsidR="007A0AC3" w:rsidRDefault="007A0A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5BA"/>
    <w:multiLevelType w:val="hybridMultilevel"/>
    <w:tmpl w:val="6D7E082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B1270D7"/>
    <w:multiLevelType w:val="multilevel"/>
    <w:tmpl w:val="68B8F3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917"/>
    <w:multiLevelType w:val="multilevel"/>
    <w:tmpl w:val="5C24665E"/>
    <w:lvl w:ilvl="0">
      <w:start w:val="1"/>
      <w:numFmt w:val="lowerLetter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982DBD"/>
    <w:multiLevelType w:val="multilevel"/>
    <w:tmpl w:val="BBA096E6"/>
    <w:lvl w:ilvl="0">
      <w:start w:val="1"/>
      <w:numFmt w:val="bullet"/>
      <w:lvlText w:val="▪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6709C3"/>
    <w:multiLevelType w:val="multilevel"/>
    <w:tmpl w:val="5816D32C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C91F06"/>
    <w:multiLevelType w:val="hybridMultilevel"/>
    <w:tmpl w:val="AA7A9E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B81A87"/>
    <w:multiLevelType w:val="hybridMultilevel"/>
    <w:tmpl w:val="CD72171E"/>
    <w:lvl w:ilvl="0" w:tplc="0415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7" w15:restartNumberingAfterBreak="0">
    <w:nsid w:val="22B005BC"/>
    <w:multiLevelType w:val="hybridMultilevel"/>
    <w:tmpl w:val="5D88B96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BC4553"/>
    <w:multiLevelType w:val="hybridMultilevel"/>
    <w:tmpl w:val="9A0EB226"/>
    <w:lvl w:ilvl="0" w:tplc="AEE4FB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A5C4AE5"/>
    <w:multiLevelType w:val="multilevel"/>
    <w:tmpl w:val="F57E902E"/>
    <w:lvl w:ilvl="0">
      <w:start w:val="1"/>
      <w:numFmt w:val="bullet"/>
      <w:lvlText w:val="▪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7D2DE0"/>
    <w:multiLevelType w:val="multilevel"/>
    <w:tmpl w:val="64A8FE5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F522A4"/>
    <w:multiLevelType w:val="multilevel"/>
    <w:tmpl w:val="71822346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A97138"/>
    <w:multiLevelType w:val="multilevel"/>
    <w:tmpl w:val="9D08D1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377F6D"/>
    <w:multiLevelType w:val="hybridMultilevel"/>
    <w:tmpl w:val="942CDBE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D1D38B9"/>
    <w:multiLevelType w:val="multilevel"/>
    <w:tmpl w:val="97D8C37C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D28D2"/>
    <w:multiLevelType w:val="multilevel"/>
    <w:tmpl w:val="5954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96D52"/>
    <w:multiLevelType w:val="multilevel"/>
    <w:tmpl w:val="4E2C6B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784CD6"/>
    <w:multiLevelType w:val="multilevel"/>
    <w:tmpl w:val="EEB428D2"/>
    <w:lvl w:ilvl="0">
      <w:start w:val="1"/>
      <w:numFmt w:val="bullet"/>
      <w:lvlText w:val="▪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B7280C"/>
    <w:multiLevelType w:val="multilevel"/>
    <w:tmpl w:val="F802103C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52F31D2"/>
    <w:multiLevelType w:val="multilevel"/>
    <w:tmpl w:val="1BA6F3CC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9E20315"/>
    <w:multiLevelType w:val="multilevel"/>
    <w:tmpl w:val="CC3A7478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2534BC"/>
    <w:multiLevelType w:val="multilevel"/>
    <w:tmpl w:val="79AAD76A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107459158">
    <w:abstractNumId w:val="4"/>
  </w:num>
  <w:num w:numId="2" w16cid:durableId="323899345">
    <w:abstractNumId w:val="21"/>
  </w:num>
  <w:num w:numId="3" w16cid:durableId="228002273">
    <w:abstractNumId w:val="14"/>
  </w:num>
  <w:num w:numId="4" w16cid:durableId="1280651207">
    <w:abstractNumId w:val="3"/>
  </w:num>
  <w:num w:numId="5" w16cid:durableId="301276671">
    <w:abstractNumId w:val="11"/>
  </w:num>
  <w:num w:numId="6" w16cid:durableId="1345084230">
    <w:abstractNumId w:val="20"/>
  </w:num>
  <w:num w:numId="7" w16cid:durableId="538979113">
    <w:abstractNumId w:val="16"/>
  </w:num>
  <w:num w:numId="8" w16cid:durableId="1311327849">
    <w:abstractNumId w:val="19"/>
  </w:num>
  <w:num w:numId="9" w16cid:durableId="1129860771">
    <w:abstractNumId w:val="12"/>
  </w:num>
  <w:num w:numId="10" w16cid:durableId="1805464608">
    <w:abstractNumId w:val="18"/>
  </w:num>
  <w:num w:numId="11" w16cid:durableId="910890134">
    <w:abstractNumId w:val="1"/>
  </w:num>
  <w:num w:numId="12" w16cid:durableId="2001348866">
    <w:abstractNumId w:val="10"/>
  </w:num>
  <w:num w:numId="13" w16cid:durableId="13773681">
    <w:abstractNumId w:val="2"/>
  </w:num>
  <w:num w:numId="14" w16cid:durableId="1856924180">
    <w:abstractNumId w:val="17"/>
  </w:num>
  <w:num w:numId="15" w16cid:durableId="1348369558">
    <w:abstractNumId w:val="9"/>
  </w:num>
  <w:num w:numId="16" w16cid:durableId="1388262337">
    <w:abstractNumId w:val="7"/>
  </w:num>
  <w:num w:numId="17" w16cid:durableId="1740667082">
    <w:abstractNumId w:val="15"/>
  </w:num>
  <w:num w:numId="18" w16cid:durableId="254169864">
    <w:abstractNumId w:val="13"/>
  </w:num>
  <w:num w:numId="19" w16cid:durableId="1939675935">
    <w:abstractNumId w:val="0"/>
  </w:num>
  <w:num w:numId="20" w16cid:durableId="1562252910">
    <w:abstractNumId w:val="5"/>
  </w:num>
  <w:num w:numId="21" w16cid:durableId="1661418632">
    <w:abstractNumId w:val="6"/>
  </w:num>
  <w:num w:numId="22" w16cid:durableId="621963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AC3"/>
    <w:rsid w:val="00006E8E"/>
    <w:rsid w:val="00010129"/>
    <w:rsid w:val="0003544C"/>
    <w:rsid w:val="0003751E"/>
    <w:rsid w:val="00037C64"/>
    <w:rsid w:val="00055E83"/>
    <w:rsid w:val="000E3C6F"/>
    <w:rsid w:val="000F67B5"/>
    <w:rsid w:val="00144A97"/>
    <w:rsid w:val="001458AD"/>
    <w:rsid w:val="001C371A"/>
    <w:rsid w:val="0020459C"/>
    <w:rsid w:val="00211B66"/>
    <w:rsid w:val="0021337B"/>
    <w:rsid w:val="00265642"/>
    <w:rsid w:val="002821E2"/>
    <w:rsid w:val="00292538"/>
    <w:rsid w:val="002E440F"/>
    <w:rsid w:val="0030176C"/>
    <w:rsid w:val="00304E41"/>
    <w:rsid w:val="0030739F"/>
    <w:rsid w:val="003306FC"/>
    <w:rsid w:val="00335C43"/>
    <w:rsid w:val="00386603"/>
    <w:rsid w:val="00440229"/>
    <w:rsid w:val="00476D20"/>
    <w:rsid w:val="004A49E6"/>
    <w:rsid w:val="00531A85"/>
    <w:rsid w:val="005329C4"/>
    <w:rsid w:val="00545B71"/>
    <w:rsid w:val="005F2D81"/>
    <w:rsid w:val="00603E9F"/>
    <w:rsid w:val="006108A6"/>
    <w:rsid w:val="00640545"/>
    <w:rsid w:val="006B17F1"/>
    <w:rsid w:val="006B70D8"/>
    <w:rsid w:val="006D4F41"/>
    <w:rsid w:val="007168A4"/>
    <w:rsid w:val="007220E4"/>
    <w:rsid w:val="0074474B"/>
    <w:rsid w:val="00750872"/>
    <w:rsid w:val="00754F00"/>
    <w:rsid w:val="00767393"/>
    <w:rsid w:val="007A0AC3"/>
    <w:rsid w:val="007A7029"/>
    <w:rsid w:val="007C1C54"/>
    <w:rsid w:val="007C3DE0"/>
    <w:rsid w:val="007D1FBE"/>
    <w:rsid w:val="007F5C3E"/>
    <w:rsid w:val="00822112"/>
    <w:rsid w:val="00826530"/>
    <w:rsid w:val="00876B09"/>
    <w:rsid w:val="00887D38"/>
    <w:rsid w:val="008F3A10"/>
    <w:rsid w:val="00916820"/>
    <w:rsid w:val="00934F65"/>
    <w:rsid w:val="00976CC9"/>
    <w:rsid w:val="009B236A"/>
    <w:rsid w:val="009C5285"/>
    <w:rsid w:val="009E16E6"/>
    <w:rsid w:val="009E190A"/>
    <w:rsid w:val="00A10A7A"/>
    <w:rsid w:val="00A5746E"/>
    <w:rsid w:val="00A84D0E"/>
    <w:rsid w:val="00AE1C55"/>
    <w:rsid w:val="00AE2CBA"/>
    <w:rsid w:val="00AE46A8"/>
    <w:rsid w:val="00AE4727"/>
    <w:rsid w:val="00B06802"/>
    <w:rsid w:val="00B2090F"/>
    <w:rsid w:val="00BE233A"/>
    <w:rsid w:val="00BE469D"/>
    <w:rsid w:val="00C0709A"/>
    <w:rsid w:val="00C1626C"/>
    <w:rsid w:val="00C5226D"/>
    <w:rsid w:val="00C5643E"/>
    <w:rsid w:val="00C74ADA"/>
    <w:rsid w:val="00CB1975"/>
    <w:rsid w:val="00CE2458"/>
    <w:rsid w:val="00D258B9"/>
    <w:rsid w:val="00D5451D"/>
    <w:rsid w:val="00D677B2"/>
    <w:rsid w:val="00DC1130"/>
    <w:rsid w:val="00DC22A2"/>
    <w:rsid w:val="00DD4FCA"/>
    <w:rsid w:val="00E64E45"/>
    <w:rsid w:val="00E76463"/>
    <w:rsid w:val="00EC049A"/>
    <w:rsid w:val="00EC2885"/>
    <w:rsid w:val="00ED616F"/>
    <w:rsid w:val="00EF2BCF"/>
    <w:rsid w:val="00EF620B"/>
    <w:rsid w:val="00F15DD0"/>
    <w:rsid w:val="00F22D0F"/>
    <w:rsid w:val="00F246F8"/>
    <w:rsid w:val="00F640D0"/>
    <w:rsid w:val="00F7041C"/>
    <w:rsid w:val="00F8320D"/>
    <w:rsid w:val="00F84527"/>
    <w:rsid w:val="00F86318"/>
    <w:rsid w:val="00F94045"/>
    <w:rsid w:val="00FA4E6A"/>
    <w:rsid w:val="00FA680B"/>
    <w:rsid w:val="00FC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9E8D"/>
  <w15:docId w15:val="{AD668C27-6ABF-4FF9-B1D1-C45636BA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7B5"/>
  </w:style>
  <w:style w:type="paragraph" w:styleId="Nagwek1">
    <w:name w:val="heading 1"/>
    <w:basedOn w:val="Normalny"/>
    <w:next w:val="Normalny"/>
    <w:uiPriority w:val="9"/>
    <w:qFormat/>
    <w:rsid w:val="000F67B5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F67B5"/>
    <w:pPr>
      <w:keepNext/>
      <w:tabs>
        <w:tab w:val="left" w:pos="-2160"/>
      </w:tabs>
      <w:ind w:left="576" w:hanging="576"/>
      <w:jc w:val="both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F67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F67B5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F67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F67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F67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F67B5"/>
    <w:pPr>
      <w:jc w:val="center"/>
    </w:pPr>
    <w:rPr>
      <w:sz w:val="36"/>
      <w:szCs w:val="36"/>
    </w:rPr>
  </w:style>
  <w:style w:type="table" w:customStyle="1" w:styleId="TableNormal0">
    <w:name w:val="Table Normal"/>
    <w:rsid w:val="000F67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0F67B5"/>
    <w:pPr>
      <w:jc w:val="center"/>
    </w:pPr>
    <w:rPr>
      <w:b/>
      <w:sz w:val="28"/>
      <w:szCs w:val="28"/>
    </w:rPr>
  </w:style>
  <w:style w:type="table" w:customStyle="1" w:styleId="a">
    <w:basedOn w:val="TableNormal0"/>
    <w:rsid w:val="000F67B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26AA6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F26AA6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F26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A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AA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26AA6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6AA6"/>
    <w:rPr>
      <w:color w:val="auto"/>
      <w:lang w:eastAsia="ar-SA"/>
    </w:rPr>
  </w:style>
  <w:style w:type="paragraph" w:styleId="Akapitzlist">
    <w:name w:val="List Paragraph"/>
    <w:basedOn w:val="Normalny"/>
    <w:link w:val="AkapitzlistZnak"/>
    <w:qFormat/>
    <w:rsid w:val="00F26AA6"/>
    <w:pPr>
      <w:ind w:left="720"/>
      <w:contextualSpacing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2D104A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2D104A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104A"/>
    <w:rPr>
      <w:color w:val="auto"/>
      <w:sz w:val="20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rsid w:val="002D10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E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E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2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986"/>
  </w:style>
  <w:style w:type="paragraph" w:styleId="Stopka">
    <w:name w:val="footer"/>
    <w:basedOn w:val="Normalny"/>
    <w:link w:val="StopkaZnak"/>
    <w:uiPriority w:val="99"/>
    <w:unhideWhenUsed/>
    <w:rsid w:val="00532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986"/>
  </w:style>
  <w:style w:type="character" w:customStyle="1" w:styleId="TekstkomentarzaZnak1">
    <w:name w:val="Tekst komentarza Znak1"/>
    <w:aliases w:val="Znak Znak1"/>
    <w:rsid w:val="00107F67"/>
    <w:rPr>
      <w:lang w:eastAsia="ar-SA"/>
    </w:rPr>
  </w:style>
  <w:style w:type="character" w:customStyle="1" w:styleId="TekstpodstawowyZnak1">
    <w:name w:val="Tekst podstawowy Znak1"/>
    <w:locked/>
    <w:rsid w:val="00107F67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C6AA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13F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12D7"/>
    <w:rPr>
      <w:color w:val="605E5C"/>
      <w:shd w:val="clear" w:color="auto" w:fill="E1DFDD"/>
    </w:rPr>
  </w:style>
  <w:style w:type="table" w:customStyle="1" w:styleId="a0">
    <w:basedOn w:val="TableNormal0"/>
    <w:rsid w:val="000F67B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FC171C"/>
  </w:style>
  <w:style w:type="character" w:styleId="Nierozpoznanawzmianka">
    <w:name w:val="Unresolved Mention"/>
    <w:basedOn w:val="Domylnaczcionkaakapitu"/>
    <w:uiPriority w:val="99"/>
    <w:semiHidden/>
    <w:unhideWhenUsed/>
    <w:rsid w:val="00006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7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7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9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1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5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7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zczecinski@mech-masz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34bmQZTWa5GOemdGUiiQWCqUA==">AMUW2mVJC7XLpVx0jVqtFsdcTbjSkqlHW+/WXpiRvR1GGhTbZV12kCJ8H12YxpB3E8w02j1yTI7iQZwXO5NiV/ZlAu2atFPTOZg49y47YiN85kkZR80nGSEmjUZQcJTwbgeAjHYrV36i4lIWeqXjG3X6nzI8iwfqHOEcdW586cYQWsYNBJ++AO3D95rZP0P0fVma6HPxFUQ/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3552</Words>
  <Characters>21314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Ciok-Pachecka Aleksandra</dc:creator>
  <cp:lastModifiedBy>Łukasz Prokop</cp:lastModifiedBy>
  <cp:revision>29</cp:revision>
  <cp:lastPrinted>2023-06-06T09:35:00Z</cp:lastPrinted>
  <dcterms:created xsi:type="dcterms:W3CDTF">2023-06-06T09:19:00Z</dcterms:created>
  <dcterms:modified xsi:type="dcterms:W3CDTF">2023-09-26T10:22:00Z</dcterms:modified>
</cp:coreProperties>
</file>