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A9" w:rsidRPr="00876FE8" w:rsidRDefault="009F7A3D" w:rsidP="00CB5DA9">
      <w:pPr>
        <w:pStyle w:val="Tytu"/>
        <w:spacing w:line="276" w:lineRule="auto"/>
        <w:jc w:val="left"/>
        <w:rPr>
          <w:rFonts w:asciiTheme="minorHAnsi" w:hAnsiTheme="minorHAnsi"/>
          <w:sz w:val="22"/>
          <w:szCs w:val="22"/>
          <w:lang w:val="en-US"/>
        </w:rPr>
      </w:pPr>
      <w:r w:rsidRPr="009F7A3D">
        <w:rPr>
          <w:rFonts w:asciiTheme="minorHAnsi" w:hAnsiTheme="minorHAnsi"/>
          <w:bCs/>
          <w:sz w:val="22"/>
          <w:szCs w:val="22"/>
          <w:lang w:val="en-GB"/>
        </w:rPr>
        <w:t>Appendix</w:t>
      </w:r>
      <w:r w:rsidR="00CB5DA9" w:rsidRPr="007418B7">
        <w:rPr>
          <w:rFonts w:asciiTheme="minorHAnsi" w:hAnsiTheme="minorHAnsi"/>
          <w:bCs/>
          <w:sz w:val="22"/>
          <w:szCs w:val="22"/>
          <w:lang w:val="en-GB"/>
        </w:rPr>
        <w:t xml:space="preserve"> </w:t>
      </w:r>
      <w:r w:rsidR="00A15B6C">
        <w:rPr>
          <w:rFonts w:asciiTheme="minorHAnsi" w:hAnsiTheme="minorHAnsi"/>
          <w:bCs/>
          <w:sz w:val="22"/>
          <w:szCs w:val="22"/>
          <w:lang w:val="en-GB"/>
        </w:rPr>
        <w:t>6</w:t>
      </w:r>
      <w:r w:rsidR="00CB5DA9" w:rsidRPr="007418B7">
        <w:rPr>
          <w:rFonts w:asciiTheme="minorHAnsi" w:hAnsiTheme="minorHAnsi"/>
          <w:bCs/>
          <w:sz w:val="22"/>
          <w:szCs w:val="22"/>
          <w:lang w:val="en-GB"/>
        </w:rPr>
        <w:t xml:space="preserve"> to the </w:t>
      </w:r>
      <w:r w:rsidR="00876FE8" w:rsidRPr="00876FE8">
        <w:rPr>
          <w:rFonts w:asciiTheme="minorHAnsi" w:eastAsiaTheme="minorEastAsia" w:hAnsiTheme="minorHAnsi" w:cstheme="minorHAnsi"/>
          <w:sz w:val="22"/>
          <w:lang w:val="en-US"/>
        </w:rPr>
        <w:t>quotatio</w:t>
      </w:r>
      <w:r w:rsidR="00D34824">
        <w:rPr>
          <w:rFonts w:asciiTheme="minorHAnsi" w:eastAsiaTheme="minorEastAsia" w:hAnsiTheme="minorHAnsi" w:cstheme="minorHAnsi"/>
          <w:sz w:val="22"/>
          <w:lang w:val="en-US"/>
        </w:rPr>
        <w:t>n No. POIR.01.01.01-00-0199/19/9</w:t>
      </w:r>
      <w:bookmarkStart w:id="0" w:name="_GoBack"/>
      <w:bookmarkEnd w:id="0"/>
      <w:r w:rsidR="00A15B6C">
        <w:rPr>
          <w:rFonts w:asciiTheme="minorHAnsi" w:eastAsiaTheme="minorEastAsia" w:hAnsiTheme="minorHAnsi" w:cstheme="minorHAnsi"/>
          <w:sz w:val="22"/>
          <w:lang w:val="en-US"/>
        </w:rPr>
        <w:t>/2023</w:t>
      </w:r>
    </w:p>
    <w:p w:rsidR="00CB5DA9" w:rsidRPr="007418B7" w:rsidRDefault="00CB5DA9" w:rsidP="008A3A17">
      <w:pPr>
        <w:pStyle w:val="Tytu"/>
        <w:spacing w:line="276" w:lineRule="auto"/>
        <w:rPr>
          <w:rFonts w:asciiTheme="minorHAnsi" w:hAnsiTheme="minorHAnsi"/>
          <w:sz w:val="22"/>
          <w:szCs w:val="22"/>
          <w:lang w:val="en-US"/>
        </w:rPr>
      </w:pPr>
    </w:p>
    <w:p w:rsidR="00CB5DA9" w:rsidRPr="007418B7" w:rsidRDefault="00CB5DA9" w:rsidP="008A3A17">
      <w:pPr>
        <w:pStyle w:val="Tytu"/>
        <w:spacing w:line="276" w:lineRule="auto"/>
        <w:rPr>
          <w:rFonts w:asciiTheme="minorHAnsi" w:hAnsiTheme="minorHAnsi"/>
          <w:sz w:val="22"/>
          <w:szCs w:val="22"/>
          <w:lang w:val="en-US"/>
        </w:rPr>
      </w:pPr>
    </w:p>
    <w:p w:rsidR="00CB5DA9" w:rsidRPr="007418B7" w:rsidRDefault="00CB5DA9" w:rsidP="008A3A17">
      <w:pPr>
        <w:pStyle w:val="Tytu"/>
        <w:spacing w:line="276" w:lineRule="auto"/>
        <w:rPr>
          <w:rFonts w:asciiTheme="minorHAnsi" w:hAnsiTheme="minorHAnsi"/>
          <w:sz w:val="22"/>
          <w:szCs w:val="22"/>
          <w:lang w:val="en-US"/>
        </w:rPr>
      </w:pPr>
    </w:p>
    <w:p w:rsidR="00FB522C" w:rsidRPr="007418B7" w:rsidRDefault="004D51F5" w:rsidP="008A3A17">
      <w:pPr>
        <w:pStyle w:val="Tytu"/>
        <w:spacing w:line="276" w:lineRule="auto"/>
        <w:rPr>
          <w:rFonts w:asciiTheme="minorHAnsi" w:hAnsiTheme="minorHAnsi"/>
          <w:sz w:val="22"/>
          <w:szCs w:val="22"/>
          <w:lang w:val="en-US"/>
        </w:rPr>
      </w:pPr>
      <w:r w:rsidRPr="007418B7">
        <w:rPr>
          <w:rFonts w:asciiTheme="minorHAnsi" w:hAnsiTheme="minorHAnsi"/>
          <w:bCs/>
          <w:sz w:val="22"/>
          <w:szCs w:val="22"/>
          <w:lang w:val="en-GB"/>
        </w:rPr>
        <w:t>CONFIDENTIALITY CLAUSE</w:t>
      </w:r>
    </w:p>
    <w:p w:rsidR="004D51F5" w:rsidRPr="007418B7" w:rsidRDefault="004D51F5" w:rsidP="008A3A17">
      <w:pPr>
        <w:pStyle w:val="Tytu"/>
        <w:spacing w:line="276" w:lineRule="auto"/>
        <w:rPr>
          <w:rFonts w:asciiTheme="minorHAnsi" w:hAnsiTheme="minorHAnsi"/>
          <w:sz w:val="22"/>
          <w:szCs w:val="22"/>
          <w:lang w:val="en-US"/>
        </w:rPr>
      </w:pPr>
      <w:r w:rsidRPr="007418B7">
        <w:rPr>
          <w:rFonts w:asciiTheme="minorHAnsi" w:hAnsiTheme="minorHAnsi"/>
          <w:bCs/>
          <w:sz w:val="22"/>
          <w:szCs w:val="22"/>
          <w:lang w:val="en-GB"/>
        </w:rPr>
        <w:t>(hereinafter referred to as “Clause”)</w:t>
      </w:r>
    </w:p>
    <w:p w:rsidR="00FB522C" w:rsidRPr="007418B7" w:rsidRDefault="00FB522C" w:rsidP="008A3A17">
      <w:pPr>
        <w:spacing w:line="276" w:lineRule="auto"/>
        <w:rPr>
          <w:rFonts w:asciiTheme="minorHAnsi" w:hAnsiTheme="minorHAnsi"/>
          <w:sz w:val="22"/>
          <w:szCs w:val="22"/>
          <w:lang w:val="en-US"/>
        </w:rPr>
      </w:pPr>
    </w:p>
    <w:p w:rsidR="00FB522C" w:rsidRPr="007418B7" w:rsidRDefault="00FB522C" w:rsidP="008A3A17">
      <w:pPr>
        <w:spacing w:line="276" w:lineRule="auto"/>
        <w:jc w:val="both"/>
        <w:rPr>
          <w:rFonts w:asciiTheme="minorHAnsi" w:hAnsiTheme="minorHAnsi"/>
          <w:sz w:val="22"/>
          <w:szCs w:val="22"/>
          <w:lang w:val="en-US"/>
        </w:rPr>
      </w:pPr>
      <w:r w:rsidRPr="007418B7">
        <w:rPr>
          <w:rFonts w:asciiTheme="minorHAnsi" w:hAnsiTheme="minorHAnsi"/>
          <w:sz w:val="22"/>
          <w:szCs w:val="22"/>
          <w:lang w:val="en-GB"/>
        </w:rPr>
        <w:t xml:space="preserve">concluded on [-] in Ścinawka Średnia by and between: </w:t>
      </w:r>
    </w:p>
    <w:p w:rsidR="00B02C56" w:rsidRPr="007418B7" w:rsidRDefault="00B02C56" w:rsidP="00B02C56">
      <w:pPr>
        <w:spacing w:after="120" w:line="276" w:lineRule="auto"/>
        <w:jc w:val="both"/>
        <w:rPr>
          <w:rFonts w:asciiTheme="minorHAnsi" w:hAnsiTheme="minorHAnsi"/>
          <w:sz w:val="22"/>
          <w:szCs w:val="22"/>
          <w:lang w:val="en-US"/>
        </w:rPr>
      </w:pPr>
      <w:r w:rsidRPr="007418B7">
        <w:rPr>
          <w:rFonts w:asciiTheme="minorHAnsi" w:hAnsiTheme="minorHAnsi"/>
          <w:b/>
          <w:bCs/>
          <w:sz w:val="22"/>
          <w:szCs w:val="22"/>
          <w:lang w:val="en-GB"/>
        </w:rPr>
        <w:t>ZETKAMA limited liability company</w:t>
      </w:r>
      <w:r w:rsidRPr="007418B7">
        <w:rPr>
          <w:rFonts w:asciiTheme="minorHAnsi" w:hAnsiTheme="minorHAnsi"/>
          <w:sz w:val="22"/>
          <w:szCs w:val="22"/>
          <w:lang w:val="en-GB"/>
        </w:rPr>
        <w:t xml:space="preserve"> with its registered office in Ścinawka Średnia (57-410), ul. 3 Maja 12, entered into the register of entrepreneurs kept by the District Court for Wrocław-Fabryczna in Wrocław, 9th Commercial Division of the National Court Register under the number KRS No [</w:t>
      </w:r>
      <w:r w:rsidRPr="007418B7">
        <w:rPr>
          <w:rFonts w:asciiTheme="minorHAnsi" w:hAnsiTheme="minorHAnsi"/>
          <w:i/>
          <w:iCs/>
          <w:sz w:val="22"/>
          <w:szCs w:val="22"/>
          <w:lang w:val="en-GB"/>
        </w:rPr>
        <w:t>National Court Register No</w:t>
      </w:r>
      <w:r w:rsidRPr="007418B7">
        <w:rPr>
          <w:rFonts w:asciiTheme="minorHAnsi" w:hAnsiTheme="minorHAnsi"/>
          <w:sz w:val="22"/>
          <w:szCs w:val="22"/>
          <w:lang w:val="en-GB"/>
        </w:rPr>
        <w:t>]: 0000613969, NIP No [</w:t>
      </w:r>
      <w:r w:rsidRPr="007418B7">
        <w:rPr>
          <w:rFonts w:asciiTheme="minorHAnsi" w:hAnsiTheme="minorHAnsi"/>
          <w:i/>
          <w:iCs/>
          <w:sz w:val="22"/>
          <w:szCs w:val="22"/>
          <w:lang w:val="en-GB"/>
        </w:rPr>
        <w:t>Tax ID No</w:t>
      </w:r>
      <w:r w:rsidRPr="007418B7">
        <w:rPr>
          <w:rFonts w:asciiTheme="minorHAnsi" w:hAnsiTheme="minorHAnsi"/>
          <w:sz w:val="22"/>
          <w:szCs w:val="22"/>
          <w:lang w:val="en-GB"/>
        </w:rPr>
        <w:t>]: 8851638244, with the share capital of PLN 77,900,000.00, represented by:</w:t>
      </w:r>
    </w:p>
    <w:p w:rsidR="009C13F2" w:rsidRPr="007418B7" w:rsidRDefault="00B02C56" w:rsidP="00B02C56">
      <w:pPr>
        <w:spacing w:after="120" w:line="276" w:lineRule="auto"/>
        <w:jc w:val="both"/>
        <w:rPr>
          <w:rFonts w:asciiTheme="minorHAnsi" w:hAnsiTheme="minorHAnsi"/>
          <w:sz w:val="22"/>
          <w:szCs w:val="22"/>
          <w:lang w:val="en-US"/>
        </w:rPr>
      </w:pPr>
      <w:r w:rsidRPr="007418B7">
        <w:rPr>
          <w:rFonts w:asciiTheme="minorHAnsi" w:hAnsiTheme="minorHAnsi"/>
          <w:sz w:val="22"/>
          <w:szCs w:val="22"/>
          <w:lang w:val="en-GB"/>
        </w:rPr>
        <w:t>……………………………….……….</w:t>
      </w:r>
    </w:p>
    <w:p w:rsidR="00CD3601" w:rsidRPr="007418B7" w:rsidRDefault="00CD3601" w:rsidP="008A3A17">
      <w:pPr>
        <w:spacing w:line="276" w:lineRule="auto"/>
        <w:jc w:val="both"/>
        <w:rPr>
          <w:rFonts w:asciiTheme="minorHAnsi" w:hAnsiTheme="minorHAnsi"/>
          <w:b/>
          <w:sz w:val="22"/>
          <w:szCs w:val="22"/>
          <w:lang w:val="en-US"/>
        </w:rPr>
      </w:pPr>
      <w:r w:rsidRPr="007418B7">
        <w:rPr>
          <w:rFonts w:asciiTheme="minorHAnsi" w:hAnsiTheme="minorHAnsi"/>
          <w:sz w:val="22"/>
          <w:szCs w:val="22"/>
          <w:lang w:val="en-GB"/>
        </w:rPr>
        <w:t xml:space="preserve">hereinafter referred to as the </w:t>
      </w:r>
      <w:r w:rsidRPr="007418B7">
        <w:rPr>
          <w:rFonts w:asciiTheme="minorHAnsi" w:hAnsiTheme="minorHAnsi"/>
          <w:b/>
          <w:bCs/>
          <w:sz w:val="22"/>
          <w:szCs w:val="22"/>
          <w:lang w:val="en-GB"/>
        </w:rPr>
        <w:t>Transferor</w:t>
      </w:r>
    </w:p>
    <w:p w:rsidR="00CD3601" w:rsidRPr="007418B7" w:rsidRDefault="00CD3601" w:rsidP="008A3A17">
      <w:pPr>
        <w:spacing w:line="276" w:lineRule="auto"/>
        <w:jc w:val="both"/>
        <w:rPr>
          <w:rFonts w:asciiTheme="minorHAnsi" w:hAnsiTheme="minorHAnsi"/>
          <w:sz w:val="22"/>
          <w:szCs w:val="22"/>
          <w:lang w:val="en-US"/>
        </w:rPr>
      </w:pPr>
    </w:p>
    <w:p w:rsidR="00CD3601" w:rsidRPr="007418B7" w:rsidRDefault="00CD3601" w:rsidP="008A3A17">
      <w:pPr>
        <w:spacing w:line="276" w:lineRule="auto"/>
        <w:jc w:val="both"/>
        <w:rPr>
          <w:rFonts w:asciiTheme="minorHAnsi" w:hAnsiTheme="minorHAnsi"/>
          <w:sz w:val="22"/>
          <w:szCs w:val="22"/>
          <w:lang w:val="en-US"/>
        </w:rPr>
      </w:pPr>
      <w:r w:rsidRPr="007418B7">
        <w:rPr>
          <w:rFonts w:asciiTheme="minorHAnsi" w:hAnsiTheme="minorHAnsi"/>
          <w:sz w:val="22"/>
          <w:szCs w:val="22"/>
          <w:lang w:val="en-GB"/>
        </w:rPr>
        <w:t>and</w:t>
      </w:r>
    </w:p>
    <w:p w:rsidR="00FB522C" w:rsidRPr="007418B7" w:rsidRDefault="00FB522C" w:rsidP="008A3A17">
      <w:pPr>
        <w:spacing w:line="276" w:lineRule="auto"/>
        <w:jc w:val="both"/>
        <w:rPr>
          <w:rFonts w:asciiTheme="minorHAnsi" w:hAnsiTheme="minorHAnsi"/>
          <w:b/>
          <w:sz w:val="22"/>
          <w:szCs w:val="22"/>
          <w:lang w:val="en-US"/>
        </w:rPr>
      </w:pPr>
    </w:p>
    <w:p w:rsidR="00FB522C" w:rsidRPr="007418B7" w:rsidRDefault="00596E2F" w:rsidP="008A3A17">
      <w:pPr>
        <w:spacing w:line="276" w:lineRule="auto"/>
        <w:jc w:val="both"/>
        <w:rPr>
          <w:rFonts w:asciiTheme="minorHAnsi" w:hAnsiTheme="minorHAnsi"/>
          <w:b/>
          <w:bCs/>
          <w:sz w:val="22"/>
          <w:szCs w:val="22"/>
          <w:lang w:val="en-US"/>
        </w:rPr>
      </w:pPr>
      <w:r w:rsidRPr="007418B7">
        <w:rPr>
          <w:rFonts w:asciiTheme="minorHAnsi" w:hAnsiTheme="minorHAnsi"/>
          <w:sz w:val="22"/>
          <w:szCs w:val="22"/>
          <w:lang w:val="en-GB"/>
        </w:rPr>
        <w:t>[-], represented by: [-]</w:t>
      </w:r>
    </w:p>
    <w:p w:rsidR="00FB522C" w:rsidRPr="007418B7" w:rsidRDefault="00FB522C" w:rsidP="008A3A17">
      <w:pPr>
        <w:spacing w:line="276" w:lineRule="auto"/>
        <w:jc w:val="both"/>
        <w:rPr>
          <w:rFonts w:asciiTheme="minorHAnsi" w:hAnsiTheme="minorHAnsi"/>
          <w:sz w:val="22"/>
          <w:szCs w:val="22"/>
          <w:lang w:val="en-US"/>
        </w:rPr>
      </w:pPr>
      <w:r w:rsidRPr="007418B7">
        <w:rPr>
          <w:rFonts w:asciiTheme="minorHAnsi" w:hAnsiTheme="minorHAnsi"/>
          <w:sz w:val="22"/>
          <w:szCs w:val="22"/>
          <w:lang w:val="en-GB"/>
        </w:rPr>
        <w:t xml:space="preserve">hereinafter referred to as the </w:t>
      </w:r>
      <w:r w:rsidRPr="007418B7">
        <w:rPr>
          <w:rFonts w:asciiTheme="minorHAnsi" w:hAnsiTheme="minorHAnsi"/>
          <w:b/>
          <w:bCs/>
          <w:sz w:val="22"/>
          <w:szCs w:val="22"/>
          <w:lang w:val="en-GB"/>
        </w:rPr>
        <w:t>Transferee</w:t>
      </w:r>
    </w:p>
    <w:p w:rsidR="00CD3601" w:rsidRPr="007418B7" w:rsidRDefault="00CD3601" w:rsidP="008A3A17">
      <w:pPr>
        <w:spacing w:line="276" w:lineRule="auto"/>
        <w:jc w:val="both"/>
        <w:rPr>
          <w:rFonts w:asciiTheme="minorHAnsi" w:hAnsiTheme="minorHAnsi"/>
          <w:b/>
          <w:sz w:val="22"/>
          <w:szCs w:val="22"/>
          <w:lang w:val="en-US"/>
        </w:rPr>
      </w:pPr>
      <w:r w:rsidRPr="007418B7">
        <w:rPr>
          <w:rFonts w:asciiTheme="minorHAnsi" w:hAnsiTheme="minorHAnsi"/>
          <w:sz w:val="22"/>
          <w:szCs w:val="22"/>
          <w:lang w:val="en-GB"/>
        </w:rPr>
        <w:t xml:space="preserve">hereinafter jointly referred to as the </w:t>
      </w:r>
      <w:r w:rsidRPr="007418B7">
        <w:rPr>
          <w:rFonts w:asciiTheme="minorHAnsi" w:hAnsiTheme="minorHAnsi"/>
          <w:b/>
          <w:bCs/>
          <w:sz w:val="22"/>
          <w:szCs w:val="22"/>
          <w:lang w:val="en-GB"/>
        </w:rPr>
        <w:t>Parties</w:t>
      </w:r>
      <w:r w:rsidRPr="007418B7">
        <w:rPr>
          <w:rFonts w:asciiTheme="minorHAnsi" w:hAnsiTheme="minorHAnsi"/>
          <w:sz w:val="22"/>
          <w:szCs w:val="22"/>
          <w:lang w:val="en-GB"/>
        </w:rPr>
        <w:t xml:space="preserve"> or individually as the </w:t>
      </w:r>
      <w:r w:rsidRPr="007418B7">
        <w:rPr>
          <w:rFonts w:asciiTheme="minorHAnsi" w:hAnsiTheme="minorHAnsi"/>
          <w:b/>
          <w:bCs/>
          <w:sz w:val="22"/>
          <w:szCs w:val="22"/>
          <w:lang w:val="en-GB"/>
        </w:rPr>
        <w:t>Party</w:t>
      </w:r>
    </w:p>
    <w:p w:rsidR="009C13F2" w:rsidRPr="007418B7" w:rsidRDefault="009C13F2" w:rsidP="008A3A17">
      <w:pPr>
        <w:spacing w:line="276" w:lineRule="auto"/>
        <w:rPr>
          <w:rFonts w:asciiTheme="minorHAnsi" w:hAnsiTheme="minorHAnsi"/>
          <w:sz w:val="22"/>
          <w:szCs w:val="22"/>
          <w:lang w:val="en-US"/>
        </w:rPr>
      </w:pPr>
    </w:p>
    <w:p w:rsidR="00CD3601" w:rsidRPr="007418B7" w:rsidRDefault="00CD3601" w:rsidP="008A3A17">
      <w:pPr>
        <w:shd w:val="clear" w:color="auto" w:fill="FFFFFF"/>
        <w:spacing w:line="276" w:lineRule="auto"/>
        <w:ind w:left="10"/>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 xml:space="preserve">§ 1 </w:t>
      </w:r>
    </w:p>
    <w:p w:rsidR="00CD3601" w:rsidRPr="007418B7" w:rsidRDefault="00CD3601" w:rsidP="008A3A17">
      <w:pPr>
        <w:shd w:val="clear" w:color="auto" w:fill="FFFFFF"/>
        <w:spacing w:line="276" w:lineRule="auto"/>
        <w:ind w:left="10"/>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Preamble</w:t>
      </w:r>
    </w:p>
    <w:p w:rsidR="00CD3601" w:rsidRPr="007418B7" w:rsidRDefault="00CD3601" w:rsidP="008A3A17">
      <w:pPr>
        <w:shd w:val="clear" w:color="auto" w:fill="FFFFFF"/>
        <w:spacing w:line="276" w:lineRule="auto"/>
        <w:jc w:val="both"/>
        <w:rPr>
          <w:rFonts w:asciiTheme="minorHAnsi" w:hAnsiTheme="minorHAnsi"/>
          <w:bCs/>
          <w:color w:val="000000"/>
          <w:sz w:val="22"/>
          <w:szCs w:val="22"/>
          <w:lang w:val="en-US"/>
        </w:rPr>
      </w:pPr>
      <w:r w:rsidRPr="007418B7">
        <w:rPr>
          <w:rFonts w:asciiTheme="minorHAnsi" w:hAnsiTheme="minorHAnsi"/>
          <w:color w:val="000000"/>
          <w:sz w:val="22"/>
          <w:szCs w:val="22"/>
          <w:lang w:val="en-GB"/>
        </w:rPr>
        <w:t>Given the fact that:</w:t>
      </w:r>
    </w:p>
    <w:p w:rsidR="00CD3601" w:rsidRPr="007418B7" w:rsidRDefault="00CD3601" w:rsidP="008A3A17">
      <w:pPr>
        <w:pStyle w:val="Akapitzlist"/>
        <w:numPr>
          <w:ilvl w:val="0"/>
          <w:numId w:val="8"/>
        </w:numPr>
        <w:shd w:val="clear" w:color="auto" w:fill="FFFFFF"/>
        <w:spacing w:line="276" w:lineRule="auto"/>
        <w:jc w:val="both"/>
        <w:rPr>
          <w:rFonts w:asciiTheme="minorHAnsi" w:hAnsiTheme="minorHAnsi" w:cs="Times New Roman"/>
          <w:bCs/>
          <w:color w:val="000000"/>
          <w:sz w:val="22"/>
          <w:szCs w:val="22"/>
          <w:lang w:val="en-US"/>
        </w:rPr>
      </w:pPr>
      <w:r w:rsidRPr="007418B7">
        <w:rPr>
          <w:rFonts w:asciiTheme="minorHAnsi" w:hAnsiTheme="minorHAnsi"/>
          <w:color w:val="000000"/>
          <w:sz w:val="22"/>
          <w:szCs w:val="22"/>
          <w:lang w:val="en-GB"/>
        </w:rPr>
        <w:t xml:space="preserve">the Parties intend to cooperate in order to implement a project </w:t>
      </w:r>
      <w:r w:rsidRPr="007418B7">
        <w:rPr>
          <w:rFonts w:asciiTheme="minorHAnsi" w:hAnsiTheme="minorHAnsi"/>
          <w:sz w:val="22"/>
          <w:szCs w:val="22"/>
          <w:lang w:val="en-GB"/>
        </w:rPr>
        <w:t>[-]</w:t>
      </w:r>
      <w:r w:rsidRPr="007418B7">
        <w:rPr>
          <w:rFonts w:asciiTheme="minorHAnsi" w:hAnsiTheme="minorHAnsi"/>
          <w:color w:val="000000"/>
          <w:sz w:val="22"/>
          <w:szCs w:val="22"/>
          <w:lang w:val="en-GB"/>
        </w:rPr>
        <w:t xml:space="preserve"> (hereinafter referred to as the “Order”),</w:t>
      </w:r>
    </w:p>
    <w:p w:rsidR="00CD3601" w:rsidRPr="007418B7" w:rsidRDefault="00CD3601" w:rsidP="008A3A17">
      <w:pPr>
        <w:pStyle w:val="Akapitzlist"/>
        <w:numPr>
          <w:ilvl w:val="0"/>
          <w:numId w:val="8"/>
        </w:numPr>
        <w:shd w:val="clear" w:color="auto" w:fill="FFFFFF"/>
        <w:spacing w:line="276" w:lineRule="auto"/>
        <w:jc w:val="both"/>
        <w:rPr>
          <w:rFonts w:asciiTheme="minorHAnsi" w:hAnsiTheme="minorHAnsi" w:cs="Times New Roman"/>
          <w:bCs/>
          <w:color w:val="000000"/>
          <w:sz w:val="22"/>
          <w:szCs w:val="22"/>
          <w:lang w:val="en-US"/>
        </w:rPr>
      </w:pPr>
      <w:r w:rsidRPr="007418B7">
        <w:rPr>
          <w:rFonts w:asciiTheme="minorHAnsi" w:hAnsiTheme="minorHAnsi" w:cs="Times New Roman"/>
          <w:color w:val="000000"/>
          <w:sz w:val="22"/>
          <w:szCs w:val="22"/>
          <w:lang w:val="en-GB"/>
        </w:rPr>
        <w:t>in the course of cooperation between the parties, the Transferor shall provide the Transferee with information necessary for the proper performance of the activities ordered by it, and the information shall constitute Confidential Information within the meaning of § 2 sec. 1 below, and shall constitute a secret of the Transferor's enterprise,</w:t>
      </w:r>
    </w:p>
    <w:p w:rsidR="00CD3601" w:rsidRPr="007418B7" w:rsidRDefault="00CD3601" w:rsidP="008A3A17">
      <w:pPr>
        <w:shd w:val="clear" w:color="auto" w:fill="FFFFFF"/>
        <w:spacing w:line="276" w:lineRule="auto"/>
        <w:jc w:val="both"/>
        <w:rPr>
          <w:rFonts w:asciiTheme="minorHAnsi" w:hAnsiTheme="minorHAnsi"/>
          <w:bCs/>
          <w:color w:val="000000"/>
          <w:sz w:val="22"/>
          <w:szCs w:val="22"/>
          <w:lang w:val="en-US"/>
        </w:rPr>
      </w:pPr>
      <w:r w:rsidRPr="007418B7">
        <w:rPr>
          <w:rFonts w:asciiTheme="minorHAnsi" w:hAnsiTheme="minorHAnsi"/>
          <w:color w:val="000000"/>
          <w:sz w:val="22"/>
          <w:szCs w:val="22"/>
          <w:lang w:val="en-GB"/>
        </w:rPr>
        <w:t>the Parties have agreed to conclude this Confidentiality Clause.</w:t>
      </w:r>
    </w:p>
    <w:p w:rsidR="00CD3601" w:rsidRPr="007418B7" w:rsidRDefault="00CD3601" w:rsidP="008A3A17">
      <w:pPr>
        <w:shd w:val="clear" w:color="auto" w:fill="FFFFFF"/>
        <w:spacing w:line="276" w:lineRule="auto"/>
        <w:rPr>
          <w:rFonts w:asciiTheme="minorHAnsi" w:hAnsiTheme="minorHAnsi"/>
          <w:bCs/>
          <w:color w:val="000000"/>
          <w:sz w:val="22"/>
          <w:szCs w:val="22"/>
          <w:lang w:val="en-US"/>
        </w:rPr>
      </w:pPr>
    </w:p>
    <w:p w:rsidR="00CD3601" w:rsidRPr="007418B7" w:rsidRDefault="00CD3601"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 2</w:t>
      </w:r>
    </w:p>
    <w:p w:rsidR="00CD3601" w:rsidRPr="007418B7" w:rsidRDefault="008C05BA"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Confidential Information</w:t>
      </w:r>
    </w:p>
    <w:p w:rsidR="00DB58E1" w:rsidRPr="007418B7" w:rsidRDefault="00DB58E1" w:rsidP="008A3A17">
      <w:pPr>
        <w:pStyle w:val="Tekstpodstawowywcity"/>
        <w:spacing w:line="276" w:lineRule="auto"/>
        <w:ind w:left="0"/>
        <w:jc w:val="both"/>
        <w:rPr>
          <w:rFonts w:asciiTheme="minorHAnsi" w:hAnsiTheme="minorHAnsi"/>
          <w:bCs/>
          <w:sz w:val="22"/>
          <w:szCs w:val="22"/>
          <w:lang w:val="en-US"/>
        </w:rPr>
      </w:pPr>
      <w:r w:rsidRPr="007418B7">
        <w:rPr>
          <w:rFonts w:asciiTheme="minorHAnsi" w:hAnsiTheme="minorHAnsi"/>
          <w:sz w:val="22"/>
          <w:szCs w:val="22"/>
          <w:lang w:val="en-GB"/>
        </w:rPr>
        <w:t>The Parties agree that for the purposes of the Clause, "Confidential Information" shall mean any information communicated by the Transferee to the Transferor, whether or not it has been marked as protected, including know-how, financial, commercial, technical, operational and public relations data, as well as research, analyses, studies and plans concerning activities of the Transferor and its customers and partners, and any other data except those which, at the time of disclosure or transmission to the Transferee, are clearly identified in writing as non-confidential, and in particular:</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information constituting business secret within the meaning of the Act of 16 April 1993 on combating unfair competition (Dz. U. [</w:t>
      </w:r>
      <w:r w:rsidRPr="007418B7">
        <w:rPr>
          <w:rFonts w:asciiTheme="minorHAnsi" w:hAnsiTheme="minorHAnsi"/>
          <w:i/>
          <w:iCs/>
          <w:sz w:val="22"/>
          <w:szCs w:val="22"/>
          <w:lang w:val="en-GB"/>
        </w:rPr>
        <w:t>Journal of Laws</w:t>
      </w:r>
      <w:r w:rsidRPr="007418B7">
        <w:rPr>
          <w:rFonts w:asciiTheme="minorHAnsi" w:hAnsiTheme="minorHAnsi"/>
          <w:sz w:val="22"/>
          <w:szCs w:val="22"/>
          <w:lang w:val="en-GB"/>
        </w:rPr>
        <w:t>] of 2003, No 153, item 1503, as amended);</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information constituting personal data according to the act on personal data protection of 10 May 2018 (Dz. U. [</w:t>
      </w:r>
      <w:r w:rsidRPr="007418B7">
        <w:rPr>
          <w:rFonts w:asciiTheme="minorHAnsi" w:hAnsiTheme="minorHAnsi"/>
          <w:i/>
          <w:iCs/>
          <w:sz w:val="22"/>
          <w:szCs w:val="22"/>
          <w:lang w:val="en-GB"/>
        </w:rPr>
        <w:t>Journal of Laws</w:t>
      </w:r>
      <w:r w:rsidRPr="007418B7">
        <w:rPr>
          <w:rFonts w:asciiTheme="minorHAnsi" w:hAnsiTheme="minorHAnsi"/>
          <w:sz w:val="22"/>
          <w:szCs w:val="22"/>
          <w:lang w:val="en-GB"/>
        </w:rPr>
        <w:t xml:space="preserve">] of 2018, item 1000) and Regulation of the European Parliament and of the </w:t>
      </w:r>
      <w:r w:rsidRPr="007418B7">
        <w:rPr>
          <w:rFonts w:asciiTheme="minorHAnsi" w:hAnsiTheme="minorHAnsi"/>
          <w:sz w:val="22"/>
          <w:szCs w:val="22"/>
          <w:lang w:val="en-GB"/>
        </w:rPr>
        <w:lastRenderedPageBreak/>
        <w:t>Council (EU) no. 2016/679 of 27 April 2016 on the protection of natural persons with regard to the processing of personal data and on the free movement of such data, and repealing Directive 95/46/EC (General Data Protection Regulation - GDPR)</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information on the organisational structure of the Transferor, including information on organisational diagrams, the structure of employee positions, job descriptions and internal regulations concerning the definition of the scope of employees' responsibilities;</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information of a technical or technological nature or covered by trade secrets of the Transferor, concerning in particular customers, products, procedures and prices, activities, financial situation, type of products offered and the manner in which production activities, strategies and plans are carried out;</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the provisions of this Clause, information on the progress of negotiations on this Clause, the provisions of other agreements concluded between the Parties;</w:t>
      </w:r>
    </w:p>
    <w:p w:rsidR="00DB58E1" w:rsidRPr="007418B7" w:rsidRDefault="00DB58E1" w:rsidP="008A3A17">
      <w:pPr>
        <w:pStyle w:val="Tekstpodstawowywcity"/>
        <w:numPr>
          <w:ilvl w:val="0"/>
          <w:numId w:val="11"/>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information constituting telecommunications secrets within the meaning of the Act of 16 July 2004 - Telecommunications Law (Dz.U. [</w:t>
      </w:r>
      <w:r w:rsidRPr="007418B7">
        <w:rPr>
          <w:rFonts w:asciiTheme="minorHAnsi" w:hAnsiTheme="minorHAnsi"/>
          <w:i/>
          <w:iCs/>
          <w:sz w:val="22"/>
          <w:szCs w:val="22"/>
          <w:lang w:val="en-GB"/>
        </w:rPr>
        <w:t>Journal of Laws</w:t>
      </w:r>
      <w:r w:rsidRPr="007418B7">
        <w:rPr>
          <w:rFonts w:asciiTheme="minorHAnsi" w:hAnsiTheme="minorHAnsi"/>
          <w:sz w:val="22"/>
          <w:szCs w:val="22"/>
          <w:lang w:val="en-GB"/>
        </w:rPr>
        <w:t>] of 2014, item 243, as amended).</w:t>
      </w:r>
    </w:p>
    <w:p w:rsidR="00DB58E1" w:rsidRPr="007418B7" w:rsidRDefault="00DB58E1" w:rsidP="008A3A17">
      <w:pPr>
        <w:pStyle w:val="Tekstpodstawowywcity"/>
        <w:numPr>
          <w:ilvl w:val="0"/>
          <w:numId w:val="12"/>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Confidential Information includes information disclosed or transmitted to the Transferee by members of the Transferor's authorities, its employees, accountants, attorneys, consultants or agents.</w:t>
      </w:r>
    </w:p>
    <w:p w:rsidR="00DB58E1" w:rsidRPr="007418B7" w:rsidRDefault="00DB58E1" w:rsidP="008A3A17">
      <w:pPr>
        <w:pStyle w:val="Tekstpodstawowywcity"/>
        <w:numPr>
          <w:ilvl w:val="0"/>
          <w:numId w:val="12"/>
        </w:numPr>
        <w:spacing w:line="276" w:lineRule="auto"/>
        <w:jc w:val="both"/>
        <w:rPr>
          <w:rFonts w:asciiTheme="minorHAnsi" w:hAnsiTheme="minorHAnsi"/>
          <w:bCs/>
          <w:sz w:val="22"/>
          <w:szCs w:val="22"/>
          <w:lang w:val="en-US"/>
        </w:rPr>
      </w:pPr>
      <w:r w:rsidRPr="007418B7">
        <w:rPr>
          <w:rFonts w:asciiTheme="minorHAnsi" w:hAnsiTheme="minorHAnsi"/>
          <w:sz w:val="22"/>
          <w:szCs w:val="22"/>
          <w:lang w:val="en-GB"/>
        </w:rPr>
        <w:t>This Clause does not constitute an obligation of the Transferor to disclose Confidential Information to the Transferee.</w:t>
      </w:r>
    </w:p>
    <w:p w:rsidR="00CD3601" w:rsidRPr="007418B7" w:rsidRDefault="00CD3601" w:rsidP="008A3A17">
      <w:pPr>
        <w:shd w:val="clear" w:color="auto" w:fill="FFFFFF"/>
        <w:spacing w:line="276" w:lineRule="auto"/>
        <w:rPr>
          <w:rFonts w:asciiTheme="minorHAnsi" w:hAnsiTheme="minorHAnsi"/>
          <w:bCs/>
          <w:color w:val="000000"/>
          <w:sz w:val="22"/>
          <w:szCs w:val="22"/>
          <w:lang w:val="en-US"/>
        </w:rPr>
      </w:pPr>
    </w:p>
    <w:p w:rsidR="00CD3601" w:rsidRPr="007418B7" w:rsidRDefault="00CD3601"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 3</w:t>
      </w:r>
    </w:p>
    <w:p w:rsidR="00CD3601" w:rsidRPr="007418B7" w:rsidRDefault="00CD3601"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Use and Disclosure of Confidential Information</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jc w:val="both"/>
        <w:rPr>
          <w:rFonts w:asciiTheme="minorHAnsi" w:hAnsiTheme="minorHAnsi"/>
          <w:color w:val="000000"/>
          <w:sz w:val="22"/>
          <w:szCs w:val="22"/>
          <w:lang w:val="en-US"/>
        </w:rPr>
      </w:pPr>
      <w:r w:rsidRPr="007418B7">
        <w:rPr>
          <w:rFonts w:asciiTheme="minorHAnsi" w:hAnsiTheme="minorHAnsi"/>
          <w:color w:val="000000"/>
          <w:sz w:val="22"/>
          <w:szCs w:val="22"/>
          <w:lang w:val="en-GB"/>
        </w:rPr>
        <w:t>Any Confidential Information and related rights, and in particular all rights under patents, copyrights, trademarks or trade secrets, disclosed by the Transferor to the Transferee remain the exclusive property of the Transferor and may be used by the Transferee solely for the execution of the Order.</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hanging="355"/>
        <w:jc w:val="both"/>
        <w:rPr>
          <w:rFonts w:asciiTheme="minorHAnsi" w:hAnsiTheme="minorHAnsi"/>
          <w:sz w:val="22"/>
          <w:szCs w:val="22"/>
          <w:lang w:val="en-US"/>
        </w:rPr>
      </w:pPr>
      <w:r w:rsidRPr="007418B7">
        <w:rPr>
          <w:rFonts w:asciiTheme="minorHAnsi" w:hAnsiTheme="minorHAnsi"/>
          <w:sz w:val="22"/>
          <w:szCs w:val="22"/>
          <w:lang w:val="en-GB"/>
        </w:rPr>
        <w:t>The Transferee shall be obliged to keep Confidential Information, received in writing, orally or in any other form, secret and use the Confidential Information received solely for the purpose of executing the Order.</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hanging="355"/>
        <w:jc w:val="both"/>
        <w:rPr>
          <w:rFonts w:asciiTheme="minorHAnsi" w:hAnsiTheme="minorHAnsi"/>
          <w:strike/>
          <w:sz w:val="22"/>
          <w:szCs w:val="22"/>
          <w:lang w:val="en-US"/>
        </w:rPr>
      </w:pPr>
      <w:r w:rsidRPr="007418B7">
        <w:rPr>
          <w:rFonts w:asciiTheme="minorHAnsi" w:hAnsiTheme="minorHAnsi"/>
          <w:sz w:val="22"/>
          <w:szCs w:val="22"/>
          <w:lang w:val="en-GB"/>
        </w:rPr>
        <w:t>Without the prior written consent of the Transferor, the Transferee shall not publish or otherwise disclose, directly or indirectly, any Confidential Information made available to it in connection with the execution of the Order, nor shall it publish or disclose any documents, studies, presentations or materials prepared on the basis of Confidential Information to any third party, subject to § 4.</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hanging="355"/>
        <w:jc w:val="both"/>
        <w:rPr>
          <w:rFonts w:asciiTheme="minorHAnsi" w:hAnsiTheme="minorHAnsi"/>
          <w:sz w:val="22"/>
          <w:szCs w:val="22"/>
          <w:lang w:val="en-US"/>
        </w:rPr>
      </w:pPr>
      <w:r w:rsidRPr="007418B7">
        <w:rPr>
          <w:rFonts w:asciiTheme="minorHAnsi" w:hAnsiTheme="minorHAnsi"/>
          <w:sz w:val="22"/>
          <w:szCs w:val="22"/>
          <w:lang w:val="en-GB"/>
        </w:rPr>
        <w:t>The Transferee shall take all reasonable precautions to protect and ensure the confidentiality of the Confidential Information and of any documents or data carriers containing such information and shall promptly notify the Transferor in writing of any such unauthorised use or disclosure of the Confidential Information of which it is aware. To ensure the security of Confidential Information, the Transferee should take at least the same measures as to ensure the security of his own confidential information.</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hanging="355"/>
        <w:jc w:val="both"/>
        <w:rPr>
          <w:rFonts w:asciiTheme="minorHAnsi" w:hAnsiTheme="minorHAnsi"/>
          <w:sz w:val="22"/>
          <w:szCs w:val="22"/>
          <w:lang w:val="en-US"/>
        </w:rPr>
      </w:pPr>
      <w:r w:rsidRPr="007418B7">
        <w:rPr>
          <w:rFonts w:asciiTheme="minorHAnsi" w:hAnsiTheme="minorHAnsi"/>
          <w:sz w:val="22"/>
          <w:szCs w:val="22"/>
          <w:lang w:val="en-GB"/>
        </w:rPr>
        <w:t>The Transferee shall promptly return to the Transferor upon its request all materials, documents and data carriers received from the Transferor concerning Confidential Information, including all copies, notes and other materials if made by the Transferee or provided by the Transferor.</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567" w:hanging="355"/>
        <w:jc w:val="both"/>
        <w:rPr>
          <w:rFonts w:asciiTheme="minorHAnsi" w:hAnsiTheme="minorHAnsi"/>
          <w:sz w:val="22"/>
          <w:szCs w:val="22"/>
          <w:lang w:val="en-US"/>
        </w:rPr>
      </w:pPr>
      <w:r w:rsidRPr="007418B7">
        <w:rPr>
          <w:rFonts w:asciiTheme="minorHAnsi" w:hAnsiTheme="minorHAnsi"/>
          <w:sz w:val="22"/>
          <w:szCs w:val="22"/>
          <w:lang w:val="en-GB"/>
        </w:rPr>
        <w:t>The obligation of confidentiality does not apply to Confidential Information:</w:t>
      </w:r>
    </w:p>
    <w:p w:rsidR="00CD3601" w:rsidRPr="007418B7" w:rsidRDefault="00CD3601" w:rsidP="008A3A17">
      <w:pPr>
        <w:widowControl w:val="0"/>
        <w:numPr>
          <w:ilvl w:val="0"/>
          <w:numId w:val="6"/>
        </w:numPr>
        <w:shd w:val="clear" w:color="auto" w:fill="FFFFFF"/>
        <w:tabs>
          <w:tab w:val="left" w:pos="355"/>
        </w:tabs>
        <w:autoSpaceDE w:val="0"/>
        <w:autoSpaceDN w:val="0"/>
        <w:adjustRightInd w:val="0"/>
        <w:spacing w:line="276" w:lineRule="auto"/>
        <w:jc w:val="both"/>
        <w:rPr>
          <w:rFonts w:asciiTheme="minorHAnsi" w:hAnsiTheme="minorHAnsi"/>
          <w:color w:val="000000"/>
          <w:sz w:val="22"/>
          <w:szCs w:val="22"/>
          <w:lang w:val="en-US"/>
        </w:rPr>
      </w:pPr>
      <w:r w:rsidRPr="007418B7">
        <w:rPr>
          <w:rFonts w:asciiTheme="minorHAnsi" w:hAnsiTheme="minorHAnsi"/>
          <w:color w:val="000000"/>
          <w:sz w:val="22"/>
          <w:szCs w:val="22"/>
          <w:lang w:val="en-GB"/>
        </w:rPr>
        <w:t>which on or after the date of conclusion of this Clause, is commonly known without prejudice to the provisions of this Clause;</w:t>
      </w:r>
    </w:p>
    <w:p w:rsidR="00CD3601" w:rsidRPr="007418B7" w:rsidRDefault="00CD3601" w:rsidP="008A3A17">
      <w:pPr>
        <w:widowControl w:val="0"/>
        <w:numPr>
          <w:ilvl w:val="0"/>
          <w:numId w:val="6"/>
        </w:numPr>
        <w:shd w:val="clear" w:color="auto" w:fill="FFFFFF"/>
        <w:tabs>
          <w:tab w:val="left" w:pos="355"/>
        </w:tabs>
        <w:autoSpaceDE w:val="0"/>
        <w:autoSpaceDN w:val="0"/>
        <w:adjustRightInd w:val="0"/>
        <w:spacing w:line="276" w:lineRule="auto"/>
        <w:jc w:val="both"/>
        <w:rPr>
          <w:rFonts w:asciiTheme="minorHAnsi" w:hAnsiTheme="minorHAnsi"/>
          <w:color w:val="000000"/>
          <w:sz w:val="22"/>
          <w:szCs w:val="22"/>
          <w:lang w:val="en-US"/>
        </w:rPr>
      </w:pPr>
      <w:r w:rsidRPr="007418B7">
        <w:rPr>
          <w:rFonts w:asciiTheme="minorHAnsi" w:hAnsiTheme="minorHAnsi"/>
          <w:color w:val="000000"/>
          <w:sz w:val="22"/>
          <w:szCs w:val="22"/>
          <w:lang w:val="en-GB"/>
        </w:rPr>
        <w:t>for which the Transferee demonstrates in writing that it had been aware of them prior to their disclosure;</w:t>
      </w:r>
      <w:r w:rsidRPr="007418B7">
        <w:rPr>
          <w:rFonts w:asciiTheme="minorHAnsi" w:hAnsiTheme="minorHAnsi"/>
          <w:sz w:val="22"/>
          <w:szCs w:val="22"/>
          <w:lang w:val="en-GB"/>
        </w:rPr>
        <w:t xml:space="preserve"> </w:t>
      </w:r>
    </w:p>
    <w:p w:rsidR="00CD3601" w:rsidRPr="007418B7" w:rsidRDefault="00CD3601" w:rsidP="008A3A17">
      <w:pPr>
        <w:widowControl w:val="0"/>
        <w:numPr>
          <w:ilvl w:val="0"/>
          <w:numId w:val="6"/>
        </w:numPr>
        <w:shd w:val="clear" w:color="auto" w:fill="FFFFFF"/>
        <w:tabs>
          <w:tab w:val="left" w:pos="355"/>
        </w:tabs>
        <w:autoSpaceDE w:val="0"/>
        <w:autoSpaceDN w:val="0"/>
        <w:adjustRightInd w:val="0"/>
        <w:spacing w:line="276" w:lineRule="auto"/>
        <w:jc w:val="both"/>
        <w:rPr>
          <w:rFonts w:asciiTheme="minorHAnsi" w:hAnsiTheme="minorHAnsi"/>
          <w:color w:val="000000"/>
          <w:sz w:val="22"/>
          <w:szCs w:val="22"/>
          <w:lang w:val="en-US"/>
        </w:rPr>
      </w:pPr>
      <w:r w:rsidRPr="007418B7">
        <w:rPr>
          <w:rFonts w:asciiTheme="minorHAnsi" w:hAnsiTheme="minorHAnsi"/>
          <w:color w:val="000000"/>
          <w:sz w:val="22"/>
          <w:szCs w:val="22"/>
          <w:lang w:val="en-GB"/>
        </w:rPr>
        <w:t>for which the Transferee demonstrates in writing that it has been developed by the Transferee without prejudice to the provisions of this Clause;</w:t>
      </w:r>
    </w:p>
    <w:p w:rsidR="00CD3601" w:rsidRPr="007418B7" w:rsidRDefault="00CD3601" w:rsidP="008A3A17">
      <w:pPr>
        <w:widowControl w:val="0"/>
        <w:numPr>
          <w:ilvl w:val="0"/>
          <w:numId w:val="6"/>
        </w:numPr>
        <w:shd w:val="clear" w:color="auto" w:fill="FFFFFF"/>
        <w:tabs>
          <w:tab w:val="left" w:pos="355"/>
        </w:tabs>
        <w:autoSpaceDE w:val="0"/>
        <w:autoSpaceDN w:val="0"/>
        <w:adjustRightInd w:val="0"/>
        <w:spacing w:line="276" w:lineRule="auto"/>
        <w:jc w:val="both"/>
        <w:rPr>
          <w:rFonts w:asciiTheme="minorHAnsi" w:hAnsiTheme="minorHAnsi"/>
          <w:color w:val="000000"/>
          <w:sz w:val="22"/>
          <w:szCs w:val="22"/>
          <w:lang w:val="en-US"/>
        </w:rPr>
      </w:pPr>
      <w:r w:rsidRPr="007418B7">
        <w:rPr>
          <w:rFonts w:asciiTheme="minorHAnsi" w:hAnsiTheme="minorHAnsi"/>
          <w:color w:val="000000"/>
          <w:sz w:val="22"/>
          <w:szCs w:val="22"/>
          <w:lang w:val="en-GB"/>
        </w:rPr>
        <w:t xml:space="preserve">must be disclosed in relation to regulatory requirements, including to administrative authorities, </w:t>
      </w:r>
      <w:r w:rsidRPr="007418B7">
        <w:rPr>
          <w:rFonts w:asciiTheme="minorHAnsi" w:hAnsiTheme="minorHAnsi"/>
          <w:color w:val="000000"/>
          <w:sz w:val="22"/>
          <w:szCs w:val="22"/>
          <w:lang w:val="en-GB"/>
        </w:rPr>
        <w:lastRenderedPageBreak/>
        <w:t xml:space="preserve">courts or government bodies. </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723"/>
        <w:jc w:val="both"/>
        <w:rPr>
          <w:rFonts w:asciiTheme="minorHAnsi" w:hAnsiTheme="minorHAnsi"/>
          <w:color w:val="000000"/>
          <w:sz w:val="22"/>
          <w:szCs w:val="22"/>
          <w:lang w:val="en-US"/>
        </w:rPr>
      </w:pPr>
      <w:r w:rsidRPr="007418B7">
        <w:rPr>
          <w:rFonts w:asciiTheme="minorHAnsi" w:hAnsiTheme="minorHAnsi"/>
          <w:color w:val="000000"/>
          <w:sz w:val="22"/>
          <w:szCs w:val="22"/>
          <w:lang w:val="en-GB"/>
        </w:rPr>
        <w:t>In the event referred to in § 3 sec. 6 point (iv), the Transferee shall be obliged to immediately inform the Transferor about the notice before transmitting the Confidential Information to competent administrative authorities, courts or governmental bodies.</w:t>
      </w:r>
    </w:p>
    <w:p w:rsidR="00CD3601" w:rsidRPr="007418B7" w:rsidRDefault="00CD3601" w:rsidP="008A3A17">
      <w:pPr>
        <w:widowControl w:val="0"/>
        <w:numPr>
          <w:ilvl w:val="0"/>
          <w:numId w:val="5"/>
        </w:numPr>
        <w:shd w:val="clear" w:color="auto" w:fill="FFFFFF"/>
        <w:tabs>
          <w:tab w:val="left" w:pos="355"/>
        </w:tabs>
        <w:autoSpaceDE w:val="0"/>
        <w:autoSpaceDN w:val="0"/>
        <w:adjustRightInd w:val="0"/>
        <w:spacing w:line="276" w:lineRule="auto"/>
        <w:ind w:left="723"/>
        <w:jc w:val="both"/>
        <w:rPr>
          <w:rFonts w:asciiTheme="minorHAnsi" w:hAnsiTheme="minorHAnsi"/>
          <w:color w:val="000000"/>
          <w:sz w:val="22"/>
          <w:szCs w:val="22"/>
          <w:lang w:val="en-US"/>
        </w:rPr>
      </w:pPr>
      <w:r w:rsidRPr="007418B7">
        <w:rPr>
          <w:rFonts w:asciiTheme="minorHAnsi" w:hAnsiTheme="minorHAnsi"/>
          <w:color w:val="000000"/>
          <w:sz w:val="22"/>
          <w:szCs w:val="22"/>
          <w:lang w:val="en-GB"/>
        </w:rPr>
        <w:t xml:space="preserve">The Transferee may not use Confidential Information and </w:t>
      </w:r>
      <w:r w:rsidRPr="007418B7">
        <w:rPr>
          <w:rFonts w:asciiTheme="minorHAnsi" w:hAnsiTheme="minorHAnsi"/>
          <w:sz w:val="22"/>
          <w:szCs w:val="22"/>
          <w:lang w:val="en-GB"/>
        </w:rPr>
        <w:t xml:space="preserve">documents, studies, presentations and materials prepared on the basis of Confidential Information for any purpose other than the execution of the Order. For the purpose of eliminating any doubts, the Parties agree that the Transferee shall not be entitled to use the Confidential Information in the course of its business activity not related to the execution of the Order. </w:t>
      </w:r>
    </w:p>
    <w:p w:rsidR="00CD3601" w:rsidRPr="007418B7" w:rsidRDefault="00CD3601" w:rsidP="008A3A17">
      <w:pPr>
        <w:shd w:val="clear" w:color="auto" w:fill="FFFFFF"/>
        <w:spacing w:line="276" w:lineRule="auto"/>
        <w:ind w:right="34"/>
        <w:jc w:val="center"/>
        <w:rPr>
          <w:rFonts w:asciiTheme="minorHAnsi" w:hAnsiTheme="minorHAnsi"/>
          <w:b/>
          <w:bCs/>
          <w:sz w:val="22"/>
          <w:szCs w:val="22"/>
          <w:lang w:val="en-US"/>
        </w:rPr>
      </w:pPr>
    </w:p>
    <w:p w:rsidR="00CD3601" w:rsidRPr="007418B7" w:rsidRDefault="00CD3601" w:rsidP="008A3A17">
      <w:pPr>
        <w:shd w:val="clear" w:color="auto" w:fill="FFFFFF"/>
        <w:spacing w:line="276" w:lineRule="auto"/>
        <w:jc w:val="center"/>
        <w:rPr>
          <w:rFonts w:asciiTheme="minorHAnsi" w:hAnsiTheme="minorHAnsi"/>
          <w:b/>
          <w:bCs/>
          <w:color w:val="000000"/>
          <w:sz w:val="22"/>
          <w:szCs w:val="22"/>
        </w:rPr>
      </w:pPr>
      <w:r w:rsidRPr="007418B7">
        <w:rPr>
          <w:rFonts w:asciiTheme="minorHAnsi" w:hAnsiTheme="minorHAnsi"/>
          <w:b/>
          <w:bCs/>
          <w:color w:val="000000"/>
          <w:sz w:val="22"/>
          <w:szCs w:val="22"/>
          <w:lang w:val="en-GB"/>
        </w:rPr>
        <w:t>§ 4</w:t>
      </w:r>
    </w:p>
    <w:p w:rsidR="00CD3601" w:rsidRPr="007418B7" w:rsidRDefault="00CD3601" w:rsidP="008A3A17">
      <w:pPr>
        <w:shd w:val="clear" w:color="auto" w:fill="FFFFFF"/>
        <w:spacing w:line="276" w:lineRule="auto"/>
        <w:jc w:val="center"/>
        <w:rPr>
          <w:rFonts w:asciiTheme="minorHAnsi" w:hAnsiTheme="minorHAnsi"/>
          <w:b/>
          <w:bCs/>
          <w:color w:val="000000"/>
          <w:sz w:val="22"/>
          <w:szCs w:val="22"/>
        </w:rPr>
      </w:pPr>
      <w:r w:rsidRPr="007418B7">
        <w:rPr>
          <w:rFonts w:asciiTheme="minorHAnsi" w:hAnsiTheme="minorHAnsi"/>
          <w:b/>
          <w:bCs/>
          <w:color w:val="000000"/>
          <w:sz w:val="22"/>
          <w:szCs w:val="22"/>
          <w:lang w:val="en-GB"/>
        </w:rPr>
        <w:t xml:space="preserve"> Disclosure to Employees</w:t>
      </w:r>
    </w:p>
    <w:p w:rsidR="00CD3601" w:rsidRPr="007418B7" w:rsidRDefault="00CD3601" w:rsidP="008A3A17">
      <w:pPr>
        <w:pStyle w:val="Akapitzlist"/>
        <w:numPr>
          <w:ilvl w:val="0"/>
          <w:numId w:val="9"/>
        </w:numPr>
        <w:shd w:val="clear" w:color="auto" w:fill="FFFFFF"/>
        <w:spacing w:line="276" w:lineRule="auto"/>
        <w:jc w:val="both"/>
        <w:rPr>
          <w:rFonts w:asciiTheme="minorHAnsi" w:hAnsiTheme="minorHAnsi" w:cs="Times New Roman"/>
          <w:sz w:val="22"/>
          <w:szCs w:val="22"/>
          <w:lang w:val="en-US"/>
        </w:rPr>
      </w:pPr>
      <w:r w:rsidRPr="007418B7">
        <w:rPr>
          <w:rFonts w:asciiTheme="minorHAnsi" w:hAnsiTheme="minorHAnsi" w:cs="Times New Roman"/>
          <w:sz w:val="22"/>
          <w:szCs w:val="22"/>
          <w:lang w:val="en-GB"/>
        </w:rPr>
        <w:t xml:space="preserve">The Transferee shall limit the right of access to Confidential Information only to those of its employees, consultants, advisors or persons acting on behalf of Transferee to whom such access is necessary for the execution of the Order and who have undertaken to keep the Confidential Information in secrecy. The Transferee shall inform any of the above employees, consultants, advisors and other persons acting on behalf of the Transferee of the fact that any violation of this Clause is prohibited. </w:t>
      </w:r>
    </w:p>
    <w:p w:rsidR="00CD3601" w:rsidRPr="007418B7" w:rsidRDefault="00CD3601" w:rsidP="008A3A17">
      <w:pPr>
        <w:pStyle w:val="Akapitzlist"/>
        <w:numPr>
          <w:ilvl w:val="0"/>
          <w:numId w:val="9"/>
        </w:numPr>
        <w:shd w:val="clear" w:color="auto" w:fill="FFFFFF"/>
        <w:spacing w:line="276" w:lineRule="auto"/>
        <w:jc w:val="both"/>
        <w:rPr>
          <w:rFonts w:asciiTheme="minorHAnsi" w:hAnsiTheme="minorHAnsi" w:cs="Times New Roman"/>
          <w:sz w:val="22"/>
          <w:szCs w:val="22"/>
          <w:lang w:val="en-US"/>
        </w:rPr>
      </w:pPr>
      <w:r w:rsidRPr="007418B7">
        <w:rPr>
          <w:rFonts w:asciiTheme="minorHAnsi" w:hAnsiTheme="minorHAnsi" w:cs="Times New Roman"/>
          <w:sz w:val="22"/>
          <w:szCs w:val="22"/>
          <w:lang w:val="en-GB"/>
        </w:rPr>
        <w:t>The Transferee shall be fully responsible for the acts or omissions of its employees, consultants, advisors and other persons acting on behalf of the Transferee in connection with the execution of the Order and for the disclosure to them of Confidential Information as if it was its own.</w:t>
      </w:r>
    </w:p>
    <w:p w:rsidR="00CD3601" w:rsidRPr="007418B7" w:rsidRDefault="00CD3601" w:rsidP="008A3A17">
      <w:pPr>
        <w:shd w:val="clear" w:color="auto" w:fill="FFFFFF"/>
        <w:tabs>
          <w:tab w:val="left" w:pos="346"/>
        </w:tabs>
        <w:spacing w:line="276" w:lineRule="auto"/>
        <w:jc w:val="both"/>
        <w:rPr>
          <w:rFonts w:asciiTheme="minorHAnsi" w:hAnsiTheme="minorHAnsi"/>
          <w:color w:val="000000"/>
          <w:sz w:val="22"/>
          <w:szCs w:val="22"/>
          <w:lang w:val="en-US"/>
        </w:rPr>
      </w:pPr>
    </w:p>
    <w:p w:rsidR="00CD3601" w:rsidRPr="007418B7" w:rsidRDefault="00CD3601"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 5</w:t>
      </w:r>
    </w:p>
    <w:p w:rsidR="00CD3601" w:rsidRPr="007418B7" w:rsidRDefault="00330662" w:rsidP="008A3A17">
      <w:pPr>
        <w:shd w:val="clear" w:color="auto" w:fill="FFFFFF"/>
        <w:spacing w:line="276" w:lineRule="auto"/>
        <w:jc w:val="center"/>
        <w:rPr>
          <w:rFonts w:asciiTheme="minorHAnsi" w:hAnsiTheme="minorHAnsi"/>
          <w:b/>
          <w:bCs/>
          <w:color w:val="000000"/>
          <w:sz w:val="22"/>
          <w:szCs w:val="22"/>
          <w:lang w:val="en-US"/>
        </w:rPr>
      </w:pPr>
      <w:r w:rsidRPr="007418B7">
        <w:rPr>
          <w:rFonts w:asciiTheme="minorHAnsi" w:hAnsiTheme="minorHAnsi"/>
          <w:b/>
          <w:bCs/>
          <w:color w:val="000000"/>
          <w:sz w:val="22"/>
          <w:szCs w:val="22"/>
          <w:lang w:val="en-GB"/>
        </w:rPr>
        <w:t>Damage</w:t>
      </w:r>
    </w:p>
    <w:p w:rsidR="00CD3601" w:rsidRPr="007418B7" w:rsidRDefault="00CD3601" w:rsidP="00537B7C">
      <w:pPr>
        <w:widowControl w:val="0"/>
        <w:shd w:val="clear" w:color="auto" w:fill="FFFFFF"/>
        <w:tabs>
          <w:tab w:val="left" w:pos="0"/>
        </w:tabs>
        <w:autoSpaceDE w:val="0"/>
        <w:autoSpaceDN w:val="0"/>
        <w:adjustRightInd w:val="0"/>
        <w:spacing w:line="276" w:lineRule="auto"/>
        <w:ind w:left="723"/>
        <w:jc w:val="both"/>
        <w:rPr>
          <w:rFonts w:asciiTheme="minorHAnsi" w:hAnsiTheme="minorHAnsi"/>
          <w:color w:val="000000"/>
          <w:sz w:val="22"/>
          <w:szCs w:val="22"/>
          <w:lang w:val="en-US"/>
        </w:rPr>
      </w:pPr>
      <w:r w:rsidRPr="007418B7">
        <w:rPr>
          <w:rFonts w:asciiTheme="minorHAnsi" w:hAnsiTheme="minorHAnsi"/>
          <w:color w:val="000000"/>
          <w:sz w:val="22"/>
          <w:szCs w:val="22"/>
          <w:lang w:val="en-GB"/>
        </w:rPr>
        <w:t xml:space="preserve">The Transferee undertakes to compensate for damages suffered by the Transferor as a result of the non-performance or improper performance by the Transferee of the obligations contained in this Clause. </w:t>
      </w:r>
    </w:p>
    <w:p w:rsidR="00CD3601" w:rsidRPr="007418B7" w:rsidRDefault="00CD3601" w:rsidP="008A3A17">
      <w:pPr>
        <w:shd w:val="clear" w:color="auto" w:fill="FFFFFF"/>
        <w:tabs>
          <w:tab w:val="left" w:pos="0"/>
        </w:tabs>
        <w:spacing w:line="276" w:lineRule="auto"/>
        <w:ind w:left="723"/>
        <w:jc w:val="both"/>
        <w:rPr>
          <w:rFonts w:asciiTheme="minorHAnsi" w:hAnsiTheme="minorHAnsi"/>
          <w:bCs/>
          <w:sz w:val="22"/>
          <w:szCs w:val="22"/>
          <w:lang w:val="en-US"/>
        </w:rPr>
      </w:pPr>
    </w:p>
    <w:p w:rsidR="00CD3601" w:rsidRPr="007418B7" w:rsidRDefault="00CD3601" w:rsidP="008A3A17">
      <w:pPr>
        <w:shd w:val="clear" w:color="auto" w:fill="FFFFFF"/>
        <w:spacing w:line="276" w:lineRule="auto"/>
        <w:jc w:val="center"/>
        <w:rPr>
          <w:rFonts w:asciiTheme="minorHAnsi" w:hAnsiTheme="minorHAnsi"/>
          <w:b/>
          <w:bCs/>
          <w:color w:val="000000"/>
          <w:sz w:val="22"/>
          <w:szCs w:val="22"/>
        </w:rPr>
      </w:pPr>
      <w:r w:rsidRPr="007418B7">
        <w:rPr>
          <w:rFonts w:asciiTheme="minorHAnsi" w:hAnsiTheme="minorHAnsi"/>
          <w:b/>
          <w:bCs/>
          <w:color w:val="000000"/>
          <w:sz w:val="22"/>
          <w:szCs w:val="22"/>
          <w:lang w:val="en-GB"/>
        </w:rPr>
        <w:t>§ 6</w:t>
      </w:r>
    </w:p>
    <w:p w:rsidR="00CD3601" w:rsidRPr="007418B7" w:rsidRDefault="00CD3601" w:rsidP="008A3A17">
      <w:pPr>
        <w:shd w:val="clear" w:color="auto" w:fill="FFFFFF"/>
        <w:spacing w:line="276" w:lineRule="auto"/>
        <w:jc w:val="center"/>
        <w:rPr>
          <w:rFonts w:asciiTheme="minorHAnsi" w:hAnsiTheme="minorHAnsi"/>
          <w:b/>
          <w:bCs/>
          <w:color w:val="000000"/>
          <w:sz w:val="22"/>
          <w:szCs w:val="22"/>
        </w:rPr>
      </w:pPr>
      <w:r w:rsidRPr="007418B7">
        <w:rPr>
          <w:rFonts w:asciiTheme="minorHAnsi" w:hAnsiTheme="minorHAnsi"/>
          <w:b/>
          <w:bCs/>
          <w:color w:val="000000"/>
          <w:sz w:val="22"/>
          <w:szCs w:val="22"/>
          <w:lang w:val="en-GB"/>
        </w:rPr>
        <w:t xml:space="preserve"> Final Provisions</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The purpose of this Clause is not to grant to the Transferee a license or any other right to use Confidential Information except as permitted by this Clause.</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Nor shall this Clause be construed as a contract in which the Transferor grants expressly or implicitly any license or exclusive right to the Transferee.</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Neither Party shall be entitled to terminate this Clause.</w:t>
      </w:r>
    </w:p>
    <w:p w:rsidR="00CD3601" w:rsidRPr="007418B7" w:rsidRDefault="00D434E8"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This Clause constitutes the sole expression of the wishes of the Parties in this respect. It excludes and replaces all previous agreements and arrangements between the Parties.</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 xml:space="preserve">Any amendments to this Clause shall be valid only if they are in the form of a written annex signed by authorised representatives of both Parties. </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The invalidity or unenforceability of any provision of this Clause shall not affect the validity or enforceability of any other provision of this Clause. The Parties shall endeavour to replace invalid or unenforceable provisions of this Clause by provisions that best reflect the purpose of the Clause and the intentions of the Parties.</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Any dispute between the Parties arising out of this Clause shall be subject to resolution by a common court having territorial jurisdiction over the seat of the Transferor.</w:t>
      </w:r>
    </w:p>
    <w:p w:rsidR="00CD3601" w:rsidRPr="007418B7" w:rsidRDefault="00F905C9" w:rsidP="00545F2A">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 xml:space="preserve">This Clause shall be binding upon the Parties until such time as the Confidential Information loses its economic value, but not less than 20 years from the date of its signing by both Parties. </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lastRenderedPageBreak/>
        <w:t>In matters not regulated by this Clause, the relevant provisions of Polish law shall apply, with particular regard to the Civil Code.</w:t>
      </w:r>
    </w:p>
    <w:p w:rsidR="00CD3601" w:rsidRPr="007418B7" w:rsidRDefault="00CD3601" w:rsidP="008A3A17">
      <w:pPr>
        <w:widowControl w:val="0"/>
        <w:numPr>
          <w:ilvl w:val="0"/>
          <w:numId w:val="7"/>
        </w:numPr>
        <w:shd w:val="clear" w:color="auto" w:fill="FFFFFF"/>
        <w:autoSpaceDE w:val="0"/>
        <w:autoSpaceDN w:val="0"/>
        <w:adjustRightInd w:val="0"/>
        <w:spacing w:line="276" w:lineRule="auto"/>
        <w:jc w:val="both"/>
        <w:rPr>
          <w:rFonts w:asciiTheme="minorHAnsi" w:hAnsiTheme="minorHAnsi"/>
          <w:sz w:val="22"/>
          <w:szCs w:val="22"/>
          <w:lang w:val="en-US"/>
        </w:rPr>
      </w:pPr>
      <w:r w:rsidRPr="007418B7">
        <w:rPr>
          <w:rFonts w:asciiTheme="minorHAnsi" w:hAnsiTheme="minorHAnsi"/>
          <w:sz w:val="22"/>
          <w:szCs w:val="22"/>
          <w:lang w:val="en-GB"/>
        </w:rPr>
        <w:t>This Clause has been executed in two original copies, one for each of the Parties.</w:t>
      </w:r>
    </w:p>
    <w:p w:rsidR="009E0DA1" w:rsidRPr="007418B7" w:rsidRDefault="009E0DA1" w:rsidP="008A3A17">
      <w:pPr>
        <w:spacing w:line="276" w:lineRule="auto"/>
        <w:rPr>
          <w:rFonts w:asciiTheme="minorHAnsi" w:hAnsiTheme="minorHAnsi"/>
          <w:sz w:val="22"/>
          <w:szCs w:val="22"/>
          <w:lang w:val="en-US"/>
        </w:rPr>
      </w:pPr>
    </w:p>
    <w:p w:rsidR="008B60D6" w:rsidRPr="007418B7" w:rsidRDefault="008B60D6" w:rsidP="008A3A17">
      <w:pPr>
        <w:spacing w:line="276" w:lineRule="auto"/>
        <w:rPr>
          <w:rFonts w:asciiTheme="minorHAnsi" w:hAnsiTheme="minorHAnsi"/>
          <w:sz w:val="22"/>
          <w:szCs w:val="22"/>
          <w:lang w:val="en-US"/>
        </w:rPr>
      </w:pPr>
    </w:p>
    <w:p w:rsidR="003704CA" w:rsidRPr="007418B7" w:rsidRDefault="00CD3601" w:rsidP="008A3A17">
      <w:pPr>
        <w:spacing w:line="276" w:lineRule="auto"/>
        <w:jc w:val="center"/>
        <w:rPr>
          <w:rFonts w:asciiTheme="minorHAnsi" w:hAnsiTheme="minorHAnsi"/>
          <w:b/>
          <w:sz w:val="22"/>
          <w:szCs w:val="22"/>
        </w:rPr>
      </w:pPr>
      <w:r w:rsidRPr="007418B7">
        <w:rPr>
          <w:rFonts w:asciiTheme="minorHAnsi" w:hAnsiTheme="minorHAnsi"/>
          <w:b/>
          <w:bCs/>
          <w:sz w:val="22"/>
          <w:szCs w:val="22"/>
          <w:lang w:val="en-GB"/>
        </w:rPr>
        <w:t>TRANSFEROR</w:t>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t>TRANSFEREE</w:t>
      </w:r>
    </w:p>
    <w:p w:rsidR="009E0DA1" w:rsidRPr="007418B7" w:rsidRDefault="009E0DA1" w:rsidP="008A3A17">
      <w:pPr>
        <w:spacing w:line="276" w:lineRule="auto"/>
        <w:jc w:val="center"/>
        <w:rPr>
          <w:rFonts w:asciiTheme="minorHAnsi" w:hAnsiTheme="minorHAnsi"/>
          <w:b/>
          <w:sz w:val="22"/>
          <w:szCs w:val="22"/>
        </w:rPr>
      </w:pPr>
    </w:p>
    <w:p w:rsidR="009E0DA1" w:rsidRPr="007418B7" w:rsidRDefault="009E0DA1" w:rsidP="008A3A17">
      <w:pPr>
        <w:spacing w:line="276" w:lineRule="auto"/>
        <w:rPr>
          <w:rFonts w:asciiTheme="minorHAnsi" w:hAnsiTheme="minorHAnsi"/>
          <w:b/>
          <w:sz w:val="22"/>
          <w:szCs w:val="22"/>
        </w:rPr>
      </w:pPr>
    </w:p>
    <w:p w:rsidR="008B60D6" w:rsidRPr="007418B7" w:rsidRDefault="008B60D6" w:rsidP="008A3A17">
      <w:pPr>
        <w:spacing w:line="276" w:lineRule="auto"/>
        <w:rPr>
          <w:rFonts w:asciiTheme="minorHAnsi" w:hAnsiTheme="minorHAnsi"/>
          <w:b/>
          <w:sz w:val="22"/>
          <w:szCs w:val="22"/>
        </w:rPr>
      </w:pPr>
    </w:p>
    <w:p w:rsidR="009E0DA1" w:rsidRPr="00330662" w:rsidRDefault="009E0DA1" w:rsidP="008A3A17">
      <w:pPr>
        <w:spacing w:line="276" w:lineRule="auto"/>
        <w:jc w:val="center"/>
        <w:rPr>
          <w:rFonts w:asciiTheme="minorHAnsi" w:hAnsiTheme="minorHAnsi"/>
          <w:b/>
          <w:sz w:val="22"/>
          <w:szCs w:val="22"/>
        </w:rPr>
      </w:pPr>
      <w:r w:rsidRPr="007418B7">
        <w:rPr>
          <w:rFonts w:asciiTheme="minorHAnsi" w:hAnsiTheme="minorHAnsi"/>
          <w:b/>
          <w:bCs/>
          <w:sz w:val="22"/>
          <w:szCs w:val="22"/>
          <w:lang w:val="en-GB"/>
        </w:rPr>
        <w:t>_______________________</w:t>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r>
      <w:r w:rsidRPr="007418B7">
        <w:rPr>
          <w:rFonts w:asciiTheme="minorHAnsi" w:hAnsiTheme="minorHAnsi"/>
          <w:b/>
          <w:bCs/>
          <w:sz w:val="22"/>
          <w:szCs w:val="22"/>
          <w:lang w:val="en-GB"/>
        </w:rPr>
        <w:tab/>
        <w:t>_______________________</w:t>
      </w:r>
      <w:r>
        <w:rPr>
          <w:rFonts w:asciiTheme="minorHAnsi" w:hAnsiTheme="minorHAnsi"/>
          <w:sz w:val="22"/>
          <w:szCs w:val="22"/>
          <w:lang w:val="en-GB"/>
        </w:rPr>
        <w:t xml:space="preserve"> </w:t>
      </w:r>
    </w:p>
    <w:sectPr w:rsidR="009E0DA1" w:rsidRPr="00330662" w:rsidSect="001A0C77">
      <w:headerReference w:type="default" r:id="rId8"/>
      <w:pgSz w:w="11906" w:h="16838"/>
      <w:pgMar w:top="1417" w:right="566"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A9" w:rsidRDefault="00CB5DA9" w:rsidP="00CB5DA9">
      <w:r>
        <w:separator/>
      </w:r>
    </w:p>
  </w:endnote>
  <w:endnote w:type="continuationSeparator" w:id="0">
    <w:p w:rsidR="00CB5DA9" w:rsidRDefault="00CB5DA9" w:rsidP="00CB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A9" w:rsidRDefault="00CB5DA9" w:rsidP="00CB5DA9">
      <w:r>
        <w:separator/>
      </w:r>
    </w:p>
  </w:footnote>
  <w:footnote w:type="continuationSeparator" w:id="0">
    <w:p w:rsidR="00CB5DA9" w:rsidRDefault="00CB5DA9" w:rsidP="00CB5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DA9" w:rsidRDefault="00D34824">
    <w:pPr>
      <w:pStyle w:val="Nagwek"/>
    </w:pPr>
    <w:r>
      <w:rPr>
        <w:noProof/>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48.1pt;margin-top:-18.9pt;width:786.95pt;height:87.85pt;z-index:251658240;mso-wrap-style:tight">
          <v:imagedata r:id="rId1" o:title=""/>
        </v:shape>
        <o:OLEObject Type="Embed" ProgID="Word.Document.12" ShapeID="_x0000_s2049" DrawAspect="Content" ObjectID="_1756540704"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F324F"/>
    <w:multiLevelType w:val="hybridMultilevel"/>
    <w:tmpl w:val="A5A2A93E"/>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EB42A8"/>
    <w:multiLevelType w:val="hybridMultilevel"/>
    <w:tmpl w:val="6D6667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9B1B40"/>
    <w:multiLevelType w:val="hybridMultilevel"/>
    <w:tmpl w:val="9468C500"/>
    <w:lvl w:ilvl="0" w:tplc="494C6CB8">
      <w:start w:val="1"/>
      <w:numFmt w:val="lowerLetter"/>
      <w:lvlText w:val="%1)"/>
      <w:lvlJc w:val="left"/>
      <w:pPr>
        <w:tabs>
          <w:tab w:val="num" w:pos="720"/>
        </w:tabs>
        <w:ind w:left="720" w:hanging="360"/>
      </w:pPr>
      <w:rPr>
        <w:rFonts w:asciiTheme="minorHAnsi" w:eastAsia="Times New Roman" w:hAnsiTheme="minorHAnsi"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8E6C5E"/>
    <w:multiLevelType w:val="hybridMultilevel"/>
    <w:tmpl w:val="4F8AD1DA"/>
    <w:lvl w:ilvl="0" w:tplc="2B781D56">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5015CA3"/>
    <w:multiLevelType w:val="hybridMultilevel"/>
    <w:tmpl w:val="4434E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2F5E4E"/>
    <w:multiLevelType w:val="hybridMultilevel"/>
    <w:tmpl w:val="81B22570"/>
    <w:lvl w:ilvl="0" w:tplc="B9EE899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C049F1"/>
    <w:multiLevelType w:val="hybridMultilevel"/>
    <w:tmpl w:val="17B839BA"/>
    <w:lvl w:ilvl="0" w:tplc="07BAC076">
      <w:start w:val="1"/>
      <w:numFmt w:val="decimal"/>
      <w:lvlText w:val="%1."/>
      <w:lvlJc w:val="left"/>
      <w:pPr>
        <w:tabs>
          <w:tab w:val="num" w:pos="720"/>
        </w:tabs>
        <w:ind w:left="720" w:hanging="360"/>
      </w:pPr>
      <w:rPr>
        <w:rFonts w:cs="Times New Roman"/>
        <w:strike w:val="0"/>
        <w:dstrike w:val="0"/>
        <w:u w:val="none"/>
        <w:effect w:val="none"/>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 w15:restartNumberingAfterBreak="0">
    <w:nsid w:val="3D8727B6"/>
    <w:multiLevelType w:val="hybridMultilevel"/>
    <w:tmpl w:val="4928FC02"/>
    <w:lvl w:ilvl="0" w:tplc="07BAC076">
      <w:start w:val="1"/>
      <w:numFmt w:val="decimal"/>
      <w:lvlText w:val="%1."/>
      <w:lvlJc w:val="left"/>
      <w:pPr>
        <w:tabs>
          <w:tab w:val="num" w:pos="720"/>
        </w:tabs>
        <w:ind w:left="720" w:hanging="360"/>
      </w:pPr>
      <w:rPr>
        <w:rFonts w:cs="Times New Roman"/>
        <w:strike w:val="0"/>
        <w:dstrike w:val="0"/>
        <w:u w:val="none"/>
        <w:effect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62F3992"/>
    <w:multiLevelType w:val="hybridMultilevel"/>
    <w:tmpl w:val="A830B45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01A1461"/>
    <w:multiLevelType w:val="hybridMultilevel"/>
    <w:tmpl w:val="98D83616"/>
    <w:lvl w:ilvl="0" w:tplc="3E022206">
      <w:start w:val="1"/>
      <w:numFmt w:val="lowerLetter"/>
      <w:lvlText w:val="%1)"/>
      <w:lvlJc w:val="left"/>
      <w:pPr>
        <w:tabs>
          <w:tab w:val="num" w:pos="717"/>
        </w:tabs>
        <w:ind w:left="71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0" w15:restartNumberingAfterBreak="0">
    <w:nsid w:val="6CF7210F"/>
    <w:multiLevelType w:val="hybridMultilevel"/>
    <w:tmpl w:val="DAFA5A98"/>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6E164C4"/>
    <w:multiLevelType w:val="hybridMultilevel"/>
    <w:tmpl w:val="9F4CB272"/>
    <w:lvl w:ilvl="0" w:tplc="FD80CEF8">
      <w:start w:val="1"/>
      <w:numFmt w:val="lowerRoman"/>
      <w:lvlText w:val="(%1)"/>
      <w:lvlJc w:val="left"/>
      <w:pPr>
        <w:ind w:left="1440" w:hanging="72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8"/>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4"/>
  </w:num>
  <w:num w:numId="9">
    <w:abstractNumId w:val="1"/>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2C"/>
    <w:rsid w:val="00046C7B"/>
    <w:rsid w:val="00066FFF"/>
    <w:rsid w:val="000972F6"/>
    <w:rsid w:val="000F1394"/>
    <w:rsid w:val="000F3E55"/>
    <w:rsid w:val="00104709"/>
    <w:rsid w:val="00127078"/>
    <w:rsid w:val="00190FB7"/>
    <w:rsid w:val="0019266A"/>
    <w:rsid w:val="001A0AD8"/>
    <w:rsid w:val="001A0C77"/>
    <w:rsid w:val="001D4905"/>
    <w:rsid w:val="001F2D8D"/>
    <w:rsid w:val="002541FD"/>
    <w:rsid w:val="00261187"/>
    <w:rsid w:val="002A5E25"/>
    <w:rsid w:val="002E4876"/>
    <w:rsid w:val="003231FF"/>
    <w:rsid w:val="00330662"/>
    <w:rsid w:val="00344D11"/>
    <w:rsid w:val="00363B9D"/>
    <w:rsid w:val="003704CA"/>
    <w:rsid w:val="003730AA"/>
    <w:rsid w:val="003B55AD"/>
    <w:rsid w:val="003F0BFF"/>
    <w:rsid w:val="004744E6"/>
    <w:rsid w:val="004A2E3F"/>
    <w:rsid w:val="004D51F5"/>
    <w:rsid w:val="004D6891"/>
    <w:rsid w:val="0051120D"/>
    <w:rsid w:val="005246BE"/>
    <w:rsid w:val="00524BAD"/>
    <w:rsid w:val="00537B7C"/>
    <w:rsid w:val="00545F2A"/>
    <w:rsid w:val="00563E4F"/>
    <w:rsid w:val="00565181"/>
    <w:rsid w:val="00596E2F"/>
    <w:rsid w:val="005B3E48"/>
    <w:rsid w:val="005C7E73"/>
    <w:rsid w:val="005D2B40"/>
    <w:rsid w:val="005E13FE"/>
    <w:rsid w:val="00686EB5"/>
    <w:rsid w:val="00695FB8"/>
    <w:rsid w:val="00701ACE"/>
    <w:rsid w:val="007418B7"/>
    <w:rsid w:val="00747398"/>
    <w:rsid w:val="00876FE8"/>
    <w:rsid w:val="00887082"/>
    <w:rsid w:val="00893C1A"/>
    <w:rsid w:val="00895137"/>
    <w:rsid w:val="008A3A17"/>
    <w:rsid w:val="008B60D6"/>
    <w:rsid w:val="008C05BA"/>
    <w:rsid w:val="008C08F5"/>
    <w:rsid w:val="008C3EB3"/>
    <w:rsid w:val="009235DB"/>
    <w:rsid w:val="009664E2"/>
    <w:rsid w:val="009862BC"/>
    <w:rsid w:val="009C13F2"/>
    <w:rsid w:val="009C4E93"/>
    <w:rsid w:val="009C6744"/>
    <w:rsid w:val="009E0DA1"/>
    <w:rsid w:val="009F7A3D"/>
    <w:rsid w:val="00A053FC"/>
    <w:rsid w:val="00A15B6C"/>
    <w:rsid w:val="00A17394"/>
    <w:rsid w:val="00A3420D"/>
    <w:rsid w:val="00A4190D"/>
    <w:rsid w:val="00A47263"/>
    <w:rsid w:val="00AA6AAB"/>
    <w:rsid w:val="00AE02DC"/>
    <w:rsid w:val="00AF2231"/>
    <w:rsid w:val="00B02C56"/>
    <w:rsid w:val="00B061E8"/>
    <w:rsid w:val="00B10750"/>
    <w:rsid w:val="00BC7773"/>
    <w:rsid w:val="00BE7A8A"/>
    <w:rsid w:val="00C4443C"/>
    <w:rsid w:val="00CA3A3E"/>
    <w:rsid w:val="00CB35C5"/>
    <w:rsid w:val="00CB5A74"/>
    <w:rsid w:val="00CB5DA9"/>
    <w:rsid w:val="00CD3601"/>
    <w:rsid w:val="00D34824"/>
    <w:rsid w:val="00D350B5"/>
    <w:rsid w:val="00D434E8"/>
    <w:rsid w:val="00D67883"/>
    <w:rsid w:val="00D943B7"/>
    <w:rsid w:val="00DB58E1"/>
    <w:rsid w:val="00E37A75"/>
    <w:rsid w:val="00E77E18"/>
    <w:rsid w:val="00E96A2A"/>
    <w:rsid w:val="00EC128D"/>
    <w:rsid w:val="00F0664B"/>
    <w:rsid w:val="00F129BF"/>
    <w:rsid w:val="00F22073"/>
    <w:rsid w:val="00F905C9"/>
    <w:rsid w:val="00FA0D14"/>
    <w:rsid w:val="00FB522C"/>
    <w:rsid w:val="00FD00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432D89C-25A4-4AA9-B4B8-4499297A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522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B522C"/>
    <w:pPr>
      <w:jc w:val="center"/>
    </w:pPr>
    <w:rPr>
      <w:rFonts w:ascii="Arial Narrow" w:hAnsi="Arial Narrow"/>
      <w:b/>
      <w:sz w:val="28"/>
    </w:rPr>
  </w:style>
  <w:style w:type="character" w:customStyle="1" w:styleId="TytuZnak">
    <w:name w:val="Tytuł Znak"/>
    <w:basedOn w:val="Domylnaczcionkaakapitu"/>
    <w:link w:val="Tytu"/>
    <w:rsid w:val="00FB522C"/>
    <w:rPr>
      <w:rFonts w:ascii="Arial Narrow" w:eastAsia="Times New Roman" w:hAnsi="Arial Narrow" w:cs="Times New Roman"/>
      <w:b/>
      <w:sz w:val="28"/>
      <w:szCs w:val="24"/>
      <w:lang w:eastAsia="pl-PL"/>
    </w:rPr>
  </w:style>
  <w:style w:type="table" w:styleId="Tabela-Siatka">
    <w:name w:val="Table Grid"/>
    <w:basedOn w:val="Standardowy"/>
    <w:rsid w:val="00FB522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D3601"/>
    <w:pPr>
      <w:widowControl w:val="0"/>
      <w:autoSpaceDE w:val="0"/>
      <w:autoSpaceDN w:val="0"/>
      <w:adjustRightInd w:val="0"/>
      <w:ind w:left="720"/>
      <w:contextualSpacing/>
    </w:pPr>
    <w:rPr>
      <w:rFonts w:ascii="Arial" w:eastAsia="Verdana" w:hAnsi="Arial" w:cs="Arial"/>
      <w:sz w:val="20"/>
      <w:szCs w:val="20"/>
    </w:rPr>
  </w:style>
  <w:style w:type="paragraph" w:styleId="Tekstpodstawowywcity">
    <w:name w:val="Body Text Indent"/>
    <w:basedOn w:val="Normalny"/>
    <w:link w:val="TekstpodstawowywcityZnak"/>
    <w:semiHidden/>
    <w:rsid w:val="00DB58E1"/>
    <w:pPr>
      <w:spacing w:line="360" w:lineRule="auto"/>
      <w:ind w:left="360"/>
    </w:pPr>
    <w:rPr>
      <w:szCs w:val="20"/>
    </w:rPr>
  </w:style>
  <w:style w:type="character" w:customStyle="1" w:styleId="TekstpodstawowywcityZnak">
    <w:name w:val="Tekst podstawowy wcięty Znak"/>
    <w:basedOn w:val="Domylnaczcionkaakapitu"/>
    <w:link w:val="Tekstpodstawowywcity"/>
    <w:semiHidden/>
    <w:rsid w:val="00DB58E1"/>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C44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443C"/>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FD007C"/>
    <w:rPr>
      <w:sz w:val="16"/>
      <w:szCs w:val="16"/>
    </w:rPr>
  </w:style>
  <w:style w:type="paragraph" w:styleId="Tekstkomentarza">
    <w:name w:val="annotation text"/>
    <w:basedOn w:val="Normalny"/>
    <w:link w:val="TekstkomentarzaZnak"/>
    <w:uiPriority w:val="99"/>
    <w:semiHidden/>
    <w:unhideWhenUsed/>
    <w:rsid w:val="00FD007C"/>
    <w:rPr>
      <w:sz w:val="20"/>
      <w:szCs w:val="20"/>
    </w:rPr>
  </w:style>
  <w:style w:type="character" w:customStyle="1" w:styleId="TekstkomentarzaZnak">
    <w:name w:val="Tekst komentarza Znak"/>
    <w:basedOn w:val="Domylnaczcionkaakapitu"/>
    <w:link w:val="Tekstkomentarza"/>
    <w:uiPriority w:val="99"/>
    <w:semiHidden/>
    <w:rsid w:val="00FD00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D007C"/>
    <w:rPr>
      <w:b/>
      <w:bCs/>
    </w:rPr>
  </w:style>
  <w:style w:type="character" w:customStyle="1" w:styleId="TematkomentarzaZnak">
    <w:name w:val="Temat komentarza Znak"/>
    <w:basedOn w:val="TekstkomentarzaZnak"/>
    <w:link w:val="Tematkomentarza"/>
    <w:uiPriority w:val="99"/>
    <w:semiHidden/>
    <w:rsid w:val="00FD007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B5DA9"/>
    <w:pPr>
      <w:tabs>
        <w:tab w:val="center" w:pos="4536"/>
        <w:tab w:val="right" w:pos="9072"/>
      </w:tabs>
    </w:pPr>
  </w:style>
  <w:style w:type="character" w:customStyle="1" w:styleId="NagwekZnak">
    <w:name w:val="Nagłówek Znak"/>
    <w:basedOn w:val="Domylnaczcionkaakapitu"/>
    <w:link w:val="Nagwek"/>
    <w:uiPriority w:val="99"/>
    <w:rsid w:val="00CB5DA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B5DA9"/>
    <w:pPr>
      <w:tabs>
        <w:tab w:val="center" w:pos="4536"/>
        <w:tab w:val="right" w:pos="9072"/>
      </w:tabs>
    </w:pPr>
  </w:style>
  <w:style w:type="character" w:customStyle="1" w:styleId="StopkaZnak">
    <w:name w:val="Stopka Znak"/>
    <w:basedOn w:val="Domylnaczcionkaakapitu"/>
    <w:link w:val="Stopka"/>
    <w:uiPriority w:val="99"/>
    <w:rsid w:val="00CB5DA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C6EAA-7995-4C80-A0C4-60F1CA96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8275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JGA</dc:creator>
  <cp:lastModifiedBy>Grzegorz Giel</cp:lastModifiedBy>
  <cp:revision>10</cp:revision>
  <dcterms:created xsi:type="dcterms:W3CDTF">2020-02-11T13:38:00Z</dcterms:created>
  <dcterms:modified xsi:type="dcterms:W3CDTF">2023-09-18T09:12:00Z</dcterms:modified>
</cp:coreProperties>
</file>