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09.10.2022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ZAPYTANIE OFERTOWE 1/</w:t>
      </w:r>
      <w:r w:rsidDel="00000000" w:rsidR="00000000" w:rsidRPr="00000000">
        <w:rPr>
          <w:b w:val="1"/>
          <w:rtl w:val="0"/>
        </w:rPr>
        <w:t xml:space="preserve">08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„Zakup </w:t>
      </w:r>
      <w:r w:rsidDel="00000000" w:rsidR="00000000" w:rsidRPr="00000000">
        <w:rPr>
          <w:rtl w:val="0"/>
        </w:rPr>
        <w:t xml:space="preserve">maszyny współrzędnościowej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i w:val="0"/>
          <w:sz w:val="24"/>
          <w:szCs w:val="24"/>
          <w:u w:val="none"/>
          <w:rtl w:val="0"/>
        </w:rPr>
        <w:t xml:space="preserve">W związku z realizacją projektu pt.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highlight w:val="white"/>
          <w:rtl w:val="0"/>
        </w:rPr>
        <w:t xml:space="preserve">Wprowadzenie innowacyjności procesowej Maxpro CNC Sp.z o.o. poprzez zakup wyposażenia. Maszyna współrzędnościowa CMM Powstaje w kontekście projektu: FEDS.09.04-IP.01-013/23</w:t>
      </w:r>
      <w:r w:rsidDel="00000000" w:rsidR="00000000" w:rsidRPr="00000000">
        <w:rPr>
          <w:rtl w:val="0"/>
        </w:rPr>
        <w:t xml:space="preserve">..</w:t>
      </w:r>
      <w:r w:rsidDel="00000000" w:rsidR="00000000" w:rsidRPr="00000000">
        <w:rPr>
          <w:i w:val="0"/>
          <w:sz w:val="24"/>
          <w:szCs w:val="24"/>
          <w:u w:val="none"/>
          <w:rtl w:val="0"/>
        </w:rPr>
        <w:t xml:space="preserve">1 Przedsiębiorstwa</w:t>
        <w:br w:type="textWrapping"/>
      </w:r>
      <w:r w:rsidDel="00000000" w:rsidR="00000000" w:rsidRPr="00000000">
        <w:rPr>
          <w:rtl w:val="0"/>
        </w:rPr>
        <w:t xml:space="preserve">Maxpro CNC Sp. z o.o.</w:t>
      </w:r>
      <w:r w:rsidDel="00000000" w:rsidR="00000000" w:rsidRPr="00000000">
        <w:rPr>
          <w:i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ogłasza zgodnie z zasadą konkurencyjności postępowanie w trybie zapytania ofertowego na zakup i dostawę środka trwałego.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Numer naboru: </w:t>
      </w:r>
      <w:r w:rsidDel="00000000" w:rsidR="00000000" w:rsidRPr="00000000">
        <w:rPr>
          <w:sz w:val="22"/>
          <w:szCs w:val="22"/>
          <w:rtl w:val="0"/>
        </w:rPr>
        <w:t xml:space="preserve">FEDS.09.04-IP.01-013/23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u w:val="none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u w:val="none"/>
          <w:rtl w:val="0"/>
        </w:rPr>
        <w:t xml:space="preserve">1. Zamawiający: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Nazwa:  </w:t>
      </w:r>
      <w:r w:rsidDel="00000000" w:rsidR="00000000" w:rsidRPr="00000000">
        <w:rPr>
          <w:rtl w:val="0"/>
        </w:rPr>
        <w:t xml:space="preserve">Maxpro CNC Sp. z 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Adres: </w:t>
      </w:r>
      <w:r w:rsidDel="00000000" w:rsidR="00000000" w:rsidRPr="00000000">
        <w:rPr>
          <w:rtl w:val="0"/>
        </w:rPr>
        <w:t xml:space="preserve">Villardczyków 2, Wałbrzych, 58-306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NIP: </w:t>
      </w:r>
      <w:r w:rsidDel="00000000" w:rsidR="00000000" w:rsidRPr="00000000">
        <w:rPr>
          <w:i w:val="0"/>
          <w:sz w:val="24"/>
          <w:szCs w:val="24"/>
          <w:rtl w:val="0"/>
        </w:rPr>
        <w:t xml:space="preserve">886</w:t>
      </w:r>
      <w:r w:rsidDel="00000000" w:rsidR="00000000" w:rsidRPr="00000000">
        <w:rPr>
          <w:rtl w:val="0"/>
        </w:rPr>
        <w:t xml:space="preserve">2983358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left"/>
        <w:rPr>
          <w:i w:val="0"/>
          <w:sz w:val="28"/>
          <w:szCs w:val="28"/>
        </w:rPr>
      </w:pPr>
      <w:r w:rsidDel="00000000" w:rsidR="00000000" w:rsidRPr="00000000">
        <w:rPr>
          <w:i w:val="0"/>
          <w:color w:val="000000"/>
          <w:sz w:val="26"/>
          <w:szCs w:val="26"/>
          <w:rtl w:val="0"/>
        </w:rPr>
        <w:t xml:space="preserve">REGON: </w:t>
      </w:r>
      <w:r w:rsidDel="00000000" w:rsidR="00000000" w:rsidRPr="00000000">
        <w:rPr>
          <w:sz w:val="25"/>
          <w:szCs w:val="25"/>
          <w:highlight w:val="white"/>
          <w:rtl w:val="0"/>
        </w:rPr>
        <w:t xml:space="preserve">022396736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Adres poczty elektronicznej: </w:t>
      </w:r>
      <w:r w:rsidDel="00000000" w:rsidR="00000000" w:rsidRPr="00000000">
        <w:rPr>
          <w:rtl w:val="0"/>
        </w:rPr>
        <w:t xml:space="preserve">office@maxprocnc.pl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Osoba do kontaktów w sprawie niniejszego zapytania: </w:t>
      </w:r>
      <w:r w:rsidDel="00000000" w:rsidR="00000000" w:rsidRPr="00000000">
        <w:rPr>
          <w:rtl w:val="0"/>
        </w:rPr>
        <w:t xml:space="preserve">Andrzej Łoziński, te; + 48503751908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2. </w:t>
      </w:r>
      <w:r w:rsidDel="00000000" w:rsidR="00000000" w:rsidRPr="00000000">
        <w:rPr>
          <w:b w:val="1"/>
          <w:sz w:val="24"/>
          <w:szCs w:val="24"/>
          <w:rtl w:val="0"/>
        </w:rPr>
        <w:t xml:space="preserve">Tryb udzielenia zamówienia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Do niniejszego zapytania ofertowego nie stosuje się ustawy z dnia 11 września 2019 r. Prawo Zamówień Publicznych – tekst jednolity z 2019 r. (Dz. U. z 2019 r., poz. 2019 z późn. zm.). Postępowanie prowadzone jest zgodnie z zasadą konkurencyjności określoną w Wytycznych w zakresie kwalifikowalności wydatków w ramach Europejskiego Funduszu Rozwoju Regionalnego, Europejskiego Funduszu Społecznego oraz Funduszu Spójności na lata 2014-2020.</w:t>
      </w:r>
      <w:bookmarkStart w:colFirst="0" w:colLast="0" w:name="30j0zll" w:id="1"/>
      <w:bookmarkEnd w:id="1"/>
      <w:r w:rsidDel="00000000" w:rsidR="00000000" w:rsidRPr="00000000">
        <w:rPr>
          <w:sz w:val="24"/>
          <w:szCs w:val="24"/>
          <w:rtl w:val="0"/>
        </w:rPr>
        <w:br w:type="textWrapping"/>
        <w:t xml:space="preserve">b) Postępowanie uwzględnia Rozporządzenie Parlamentu Europejskiego i Rady (UE) 2016/679</w:t>
        <w:br w:type="textWrapping"/>
        <w:t xml:space="preserve">z dnia 27 kwietnia 2016 r. w sprawie ochrony osób fizycznych w związku z przetwarzaniem danych</w:t>
        <w:br w:type="textWrapping"/>
        <w:t xml:space="preserve">osobowych i w sprawie swobodnego przepływu takich danych oraz uchylenia dyrektywy 95/46/WE</w:t>
        <w:br w:type="textWrapping"/>
        <w:t xml:space="preserve">(ogólne rozporządzenie o ochronie danych) (Dz. Urz. UE L 119 z 04.05.2016, str. 1) – zwane dalej</w:t>
        <w:br w:type="textWrapping"/>
        <w:t xml:space="preserve">„RODO”.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3. Przedmiot i opis zamówienia: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Roboto" w:cs="Roboto" w:eastAsia="Roboto" w:hAnsi="Roboto"/>
          <w:rtl w:val="0"/>
        </w:rPr>
        <w:t xml:space="preserve">Specyfikacja: Wszystkie osie maszyny CMM muszą być wykonane z granitu • Zakres pomiarowy: min1000(X) x 700(Y) x 500(Z) mm • Dokładność pomiarowa: MPEE = (2,5 + 2,5L/1000)μm • Powtarzalność pomiaru: 0.0025 mm • Rozdzielczość skali: 0.0001 mm • Łożyskowanie powietrzne we wszystkich osiach. • Temperaturowy zakres pracy: od +15°C do +35°C • Wymiary zewnętrzne: maximum 2050 mm x 1600 mm x 2580mm mm • Masa całkowita:minimum 2060 kg- max 2100kg • Maksymalna ładowność: min 1900 kg - max 2200kg • Kula wzorcowa 20 mm • Prędkość wektorowa: 30 m/min • Przyspieszenie: 1,2 m/s2 • Ciśnienie: 6 Bar ± 0,5 Bar • Szybkość przepływu: 145 l/min-155l/min Uniwersalny wieloosiowy kontroler numeryczny do obsługi 5-osiowego ruchu oraz sterowania głowicą pomiarową wraz z okablowaniem do maszyny oraz joystick zapewniający regulacje prędkości przejazdu maszyny w trybie automatycznym i manualnym wraz z przyciskiem stopu awaryjnego. Zestaw 5-osiowej głowicy pomiarowej wraz z okablowaniem • 5-osiowe pomiary stykowe na maszynach każdej wielkości indeksowane • Łatwy dostęp do mierzonej cechy pod dowolnym kątem • Szybka kalibracja 6-portowy magazynek na moduł sondy do użytku z głowicą 5-osiową który umożliwia szybką i powtarzalną wymianę oraz bezpieczne przechowywanie modułów sondy. SPECYFIKACJA OPROGRAMOWANIA POMIAROWEGO z maszyną współrzędnościową Oprogramowanie w architekturze 64-bitowej wykorzystujące pełne zasoby pamięci i procesora. Wielowątkowość i obsługa systemów wieloprocesorowych. Przetwarzanie danych z wykorzystaniem wszystkich rdzeni procesora. Wszechstronność zapewniająca możliwość podłączenia, poprzez wbudowany interfejs programowy, ramienia ze skanerem laserowym oraz maszyny CMM CNC wyposażonej w skanującą głowicę pięcioosiową. Obsługa pięcioosiowych głowic skanujących w trybie pracy 2-osiowej, 3-osiowej oraz 5-osiowej. Automatyczne podpowiadanie najlepszej strategii pomiarowej do wszystkich trybów pracy. Wizualizacja podglądu przesuwu maszyny CNC w trybie 5-osiowym, głowicy pomiarowej przed wykonaniem fizycznego przesuwu maszyny. Możliwość edycji punktów pośrednich z wykorzystaniem manipulatorów graficznych przesuwu i obrotu głowicy z poziomu widoku 3D i modelu CAD. Manipulatory na widoku 3D do ustawienia kątów głowicy. Możliwość pracy w układach współrzędnych: kartezjańskim, walcowym i sferycznym. Kostka bezpieczeństwa umożliwiająca łatwe programowanie ONLINE I OFFLINE, z automatycznym unikaniem potencjalnych kolizji. Budowa modułowa dająca możliwość rozbudowy licencji o kolejne wbudowane interfejsy programowe do bezpośredniego podłączenia robotów przemysłowych. Możliwość pracy z programami pomiarowymi z rozszerzeniem *.MgProg. Możliwość importowania modeli CAD wraz z geometrią i tolerancjami kształtu i położenia GD&amp;T oraz ich wizualizacja w trakcie przygotowywania i wykonywania programu. Konwertery CAD: IGES, VDA, UNISURF, SET, STEP. Zaawansowany moduł analizy GD&amp;T wraz z raportowaniem widoków szczegółowych zawierających bazy. Obsługa pięcioosiowych głowic skanujących w trybie pracy 2-osiowej, 3-osiowej oraz 5-osiowej. Automatyczne podpowiadanie najlepszej strategii pomiarowej do wszystkich trybów pracy. Wizualizacja podglądu przesuwu maszyny CNC w trybie pięcioosiowym przed wykonaniem ruchu maszyny. Rozbudowany moduł raportowania pozwalający na prezentowanie danych w różnych układach lokalnych na jednym raporcie. Możliwość tworzenia raportu pomiarowego z danych pochodzących z ramienia pomiarowego oraz maszyny CMM CNC. Możliwość pracy z układami lokalnymi oraz wykonywania pomiarów względnych. Dynamiczne połączenia między elementami pomiarowymi i automatyczna aktualizacja elementów powiązanych ze sobą. Widok szczegółowy mierzonych elementów. Możliwości filtrowania zmierzonych danych wg różnych algorytmów oraz aktywacji i dezaktywacji pojedynczych punktów pomiarowych. Rozbudowany moduł statystyki zawierający możliwość zawarcia wykresów w raporcie tekstowym. Podgląd w czasie rzeczywistym wyniku pomiaru w trakcie zbierania punktów pomiarowych. Możliwość wykorzystania jednego programu pomiarowego i tworzenia raportu pomiarowego na kilku urządzeniach np. ramię pomiarowe oraz maszyny CMM CNC różnych producentów. Możliwość integracji oprogramowania z robotami przemysłowymi. Wbudowane narzędzie wsparcia WEB umożliwiające połączenie i zdalne sterowanie oprogramowaniem. Baza danych pomiarowych bezpośrednio w oprogramowaniu</w:t>
      </w:r>
    </w:p>
    <w:p w:rsidR="00000000" w:rsidDel="00000000" w:rsidP="00000000" w:rsidRDefault="00000000" w:rsidRPr="00000000" w14:paraId="00000015">
      <w:pPr>
        <w:spacing w:before="380" w:line="360" w:lineRule="auto"/>
        <w:jc w:val="right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380" w:line="360" w:lineRule="auto"/>
        <w:jc w:val="right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Kody wspólnego słownika zamówień (CPV):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38100000-6 Przyrządy nawigacyjne i meteorologiczne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38120000-2 Przyrządy meteorologiczne</w:t>
      </w:r>
    </w:p>
    <w:p w:rsidR="00000000" w:rsidDel="00000000" w:rsidP="00000000" w:rsidRDefault="00000000" w:rsidRPr="00000000" w14:paraId="0000001D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5. Obliczanie ceny: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a) Cena oferty powinna zawierać wszystkie koszty, jakie Zamawiający będzie musiał ponieść</w:t>
        <w:br w:type="textWrapping"/>
        <w:t xml:space="preserve">w związku z zakupem automatycznej linii produkcyjnej wraz z bezpłatną dostawą, montażem, instalacją oraz instruktażem stanowiskowym do siedziby Zamawiającego.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b) Należy wyszczególnić w ofercie cenę netto, podatek VAT oraz cenę brutto.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c) Cena powinna być wyrażona w złotych polskich</w:t>
      </w:r>
      <w:r w:rsidDel="00000000" w:rsidR="00000000" w:rsidRPr="00000000">
        <w:rPr>
          <w:rtl w:val="0"/>
        </w:rPr>
        <w:t xml:space="preserve">. Jeśli kalkulowana z EUR to dla przyjętego kursu 1EUR =  4,59 zł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d) Cena podlegająca ocenie będzie ceną netto za sprzedaż </w:t>
      </w:r>
      <w:r w:rsidDel="00000000" w:rsidR="00000000" w:rsidRPr="00000000">
        <w:rPr>
          <w:rtl w:val="0"/>
        </w:rPr>
        <w:t xml:space="preserve">maszyny współrzędnościowej</w:t>
      </w: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 wraz</w:t>
        <w:br w:type="textWrapping"/>
        <w:t xml:space="preserve">z bezpłatną dostawą, montażem, instalacją oraz instruktażem stanowiskowym do siedziby Zamawiającego.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e) Cena oferty stanowi wartość umowy i będzie niezmienna w toku realizacji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6. Opis sposobu przygotowania oferty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Ofertę należy sporządzić w formie pisemnej w języku polskim, w sposób czytelny i przejrzysty.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Ofertę należy złożyć na druku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 Ofertowy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stanowiącym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nr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niniejszego zapytania ofertowego. (załącznik nr 1 zamieszczony został również na końcu niniejszego dokumentu).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Złożenie oferty nie powoduje powstania żadnych zobowiązań wobec Stron. Oferent ponosi wszelkie koszty związane z opracowaniem i złożeniem oferty, niezależnie od wyniku postępowania.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Wraz z ofertą należy złożyć dokument (szczegółową specyfikację) potwierdzający posiadanie takich samych lub lepszych parametrów technicznych i jakościowych w odniesieniu do przedmiotu zamówienia określonego przez Zamawiającego.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Nie dopuszcza się możliwości nanoszenia przez Wykonawcę jakichkolwiek zmian merytorycznych na uprzednio przygotowaną treść oferty.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Wykonawca może złożyć jedną ofertę (tylko z jedną ostateczną ceną i ostatecznym okresem gwarancji); złożenie przez Wykonawcę więcej niż jednej oferty lub oferty zawierającej rozwiązania alternatywne lub wariantowe (w tym tzw. oferty wariantowej) – spowoduje odrzucenie ofert złożonych przez tego Wykonawcę.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g) Oferta wraz z załącznikami musi być podpisana przez osoby upoważnione do składania oświadczeń woli w imieniu Wykonawcy.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h) Jeżeli osoba/osoby podpisująca ofertę i składająca w imieniu Wykonawcy oświadczenia i inne pisma nie jest osobą upoważnioną na podstawie aktualnego odpisu z właściwego rejestru albo innego dokumentu załączonego do oferty, Wykonawca zobowiązany jest przedstawić stosowne Pełnomocnictwo, które w swej treści jednoznacznie wskazywać będzie uprawnienie do podpisania oferty. Pełnomocnictwo to musi zostać dołączone do oferty i musi być złożone w oryginale lub kopii poświadczonej za zgodność z oryginałem (kopia pełnomocnictwa winna być poświadczona notarialnie).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Zaleca się, by każda, zawierająca jakąkolwiek treść strona oferty była podpisana lub parafowana przez Wykonawcę. Wszystkie zmiany w treści oferty, a w szczególności przerobienie, przekreślenie, uzupełnienie, nadpisanie, przesłonięcie korektorem, itp. winne być podpisane lub parafowane przez Wykonawcę.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j) Do oferty muszą być załączone wszystkie dokumenty wymagane odpowiednimi postanowieniami zapytania ofertowego oraz przedstawionymi przez Zamawiającego wzorami – załącznikami, a w szczególności zawierać wszystkie informacje i dane.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7. Termin i miejsce wykonania zamówienia: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Wymagany maksymalny termin realizacji zamówienia: </w:t>
      </w: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Miejsce wykonania zamówienia: adres Zamawiającego.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/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8. </w:t>
      </w:r>
      <w:r w:rsidDel="00000000" w:rsidR="00000000" w:rsidRPr="00000000">
        <w:rPr>
          <w:b w:val="1"/>
          <w:rtl w:val="0"/>
        </w:rPr>
        <w:t xml:space="preserve">Warunki udziału w postępowaniu: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 udzielenie zamówienia mogą ubiegać się Wykonawcy, którzy: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line="36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posiadają uprawnienia do wykonywania określonej działalności lub czynności, jeżeli ustawy nakładają obowiązek posiadania takich uprawnień, 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line="36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posiadają odpowiednią wiedzę i doświadczenie do realizacji zamówienia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36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dysponują odpowiednim potencjałem technicznym oraz osobami zdolnymi do wykonania zamówienia; 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36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nie są powiązani osobowo i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uczestniczeniu w spółce jako wspólnik spółki cywilnej lub spółki osobowej, 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posiadaniu co najmniej 10 % udziałów lub akcji, 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pełnieniu funkcji członka organu nadzorczego lub zarządzającego, prokurenta, pełnomocnika, 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potwierdzi spełnianie ww. warunków poprzez złożenie oświadczenia stanowiącego Załącznik nr 1.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9. Rodzaje kryteriów oceny i sposób oceny ofert:</w:t>
      </w:r>
      <w:r w:rsidDel="00000000" w:rsidR="00000000" w:rsidRPr="00000000">
        <w:rPr>
          <w:rtl w:val="0"/>
        </w:rPr>
      </w:r>
    </w:p>
    <w:tbl>
      <w:tblPr>
        <w:tblStyle w:val="Table1"/>
        <w:tblW w:w="8250.0" w:type="dxa"/>
        <w:jc w:val="left"/>
        <w:tblInd w:w="40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257"/>
        <w:gridCol w:w="2993"/>
        <w:tblGridChange w:id="0">
          <w:tblGrid>
            <w:gridCol w:w="5257"/>
            <w:gridCol w:w="29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360" w:lineRule="auto"/>
              <w:ind w:left="62" w:right="10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0"/>
                <w:color w:val="000000"/>
                <w:sz w:val="24"/>
                <w:szCs w:val="24"/>
                <w:rtl w:val="0"/>
              </w:rPr>
              <w:t xml:space="preserve">Kryterium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360" w:lineRule="auto"/>
              <w:ind w:left="0" w:right="5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0"/>
                <w:color w:val="000000"/>
                <w:sz w:val="24"/>
                <w:szCs w:val="24"/>
                <w:rtl w:val="0"/>
              </w:rPr>
              <w:t xml:space="preserve">Waga kryterium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360" w:lineRule="auto"/>
              <w:ind w:left="62" w:right="106" w:firstLine="0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0"/>
                <w:color w:val="000000"/>
                <w:sz w:val="24"/>
                <w:szCs w:val="24"/>
                <w:rtl w:val="0"/>
              </w:rPr>
              <w:t xml:space="preserve">Cena netto– wyrażona w PLN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80%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360" w:lineRule="auto"/>
              <w:ind w:left="62" w:right="106" w:firstLine="0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0"/>
                <w:color w:val="000000"/>
                <w:sz w:val="24"/>
                <w:szCs w:val="24"/>
                <w:rtl w:val="0"/>
              </w:rPr>
              <w:t xml:space="preserve">Gwarancja – wyrażona w miesiącach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</w:tr>
    </w:tbl>
    <w:p w:rsidR="00000000" w:rsidDel="00000000" w:rsidP="00000000" w:rsidRDefault="00000000" w:rsidRPr="00000000" w14:paraId="0000004A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KRYTERIUM: CENA NETTO– WAGA 80 %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W ramach tego kryterium Zamawiający dokona oceny ofert na podstawie wyniku osiągniętej liczby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punktów za kryterium „cena netto” wyliczonych w oparciu o wzór: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Cena oferty najtańszej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----------------------------------- x 80 = ilość punktów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Cena rozpatrywanej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Maksymalna ilość punktów do zdobycia w ramach kryterium: 80 pkt.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KRYTERIUM: GWARANCJA – WAGA 20 %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W ramach tego kryterium Zamawiający dokona oceny ofert na podstawie wyniku osiągniętej liczby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punktów za kryterium „gwarancja” wyliczonych w oparciu o wzór: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Najdłuższy zaoferowany czas gwarancji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-------------------------------------------------- x 20 = ilość punktów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Czas gwarancji rozpatrywanej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Maksymalna ilość punktów do zdobycia w ramach kryterium: 20 pkt.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Punkty przyznane w kryterium ceny netto oraz kryterium gwarancji danej oferty zostaną do siebie dodane. Maksymalna ilość punktów do zdobycia w ramach wszystkich kryteriów wynosi 100 pkt.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Zamawiający udzieli zamówienia Wykonawcy, którego oferta uzyskała największą sumaryczną liczbę punktów.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10. Kryteria wyboru wykonawcy: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both"/>
        <w:rPr/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Wybór Wykonawcy zostanie dokonany w oparciu o najbardziej korzystną ofertę w wyniku oceny kryterium ceny netto i gwarancji. Zamawiający udzieli zamówienia Wykonawcy, którego oferta uzyskała największą sumaryczną liczbę punktów. Rozstrzygnięcie wyboru oferty odbędzie się w terminie do 14 dni od daty zakończenia terminu składania ofert. Wyniki rozstrzygnięcia wyboru zostaną opublikowane na stronie internetowej: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both"/>
        <w:rPr/>
      </w:pPr>
      <w:hyperlink r:id="rId6">
        <w:r w:rsidDel="00000000" w:rsidR="00000000" w:rsidRPr="00000000">
          <w:rPr>
            <w:color w:val="000080"/>
            <w:u w:val="single"/>
            <w:rtl w:val="0"/>
          </w:rPr>
          <w:t xml:space="preserve">https://bazakonkurencyjnosci.funduszeeuropejskie.gov.pl/</w:t>
        </w:r>
      </w:hyperlink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both"/>
        <w:rPr/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Po dokonaniu wyboru oferty Zamawiający poinformuje Wykonawcę, którego ofertę wybrano o terminie podpisania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11. Miejsce, sposób i termin składania ofert: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Miejsce i sposób: forma elektroniczna w formacie pdf. na adres e-mail: biuro@meblead.pl lub forma papierowa (osobiście/ pocztą/ kurierem) na adres siedziby Zamawiającego tj. Meble AD Elżbieta Opalińska Drahan 58-306 Wałbrzych ul. Rzeczna 3a. Datą wiążącą jest data wpływu do siedziby Zamawiającego lub na adres e-mail Zamawiającego.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Możliwe jest również złożenie oferty za pośrednictwem serwisu „Baza Konkurencyjności” tj.:</w:t>
        <w:br w:type="textWrapping"/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4"/>
          <w:szCs w:val="24"/>
          <w:rtl w:val="0"/>
        </w:rPr>
        <w:t xml:space="preserve">https://bazakonkurencyjnosci.funduszeeuropejskie.gov.pl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Termin składania ofert: 20 </w:t>
      </w:r>
      <w:r w:rsidDel="00000000" w:rsidR="00000000" w:rsidRPr="00000000">
        <w:rPr>
          <w:b w:val="1"/>
          <w:rtl w:val="0"/>
        </w:rPr>
        <w:t xml:space="preserve">września</w:t>
      </w: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 r. (do końca dnia, liczy się data/godzina wpływu oferty)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12. Informacje na temat wykluczenia: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W celu uniknięcia konfliktu interesów, zamówienia udzielane przez Zamawiającego, nie mogą być udzielane podmiotom powiązanym z nim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3"/>
        </w:numPr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uczestniczeniu w spółce jako wspólnik spółki cywilnej lub spółki osobowej,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3"/>
        </w:numPr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posiadaniu co najmniej 10% udziałów lub akcji,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3"/>
        </w:numPr>
        <w:spacing w:line="360" w:lineRule="auto"/>
        <w:ind w:left="1080" w:hanging="360"/>
        <w:jc w:val="both"/>
        <w:rPr/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pełnieniu funkcji członka organu nadzorczego lub zarządzającego, prokurenta, pełnomocnika,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3"/>
        </w:numPr>
        <w:spacing w:line="360" w:lineRule="auto"/>
        <w:ind w:left="1080" w:hanging="360"/>
        <w:jc w:val="both"/>
        <w:rPr/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pozostawaniu w związku małżeńskim, w stosunku pokrewieństwa lub powinowactwa w linii prostej, pokrewieństwa lub powinowactwa w linii bocznej do drugiego stopnia lub w stosunku przysposobienia, opieki lub kurateli,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1"/>
          <w:numId w:val="3"/>
        </w:numPr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pozostawaniu z wykonawcą w takim stosunku prawnym, że może to budzić uzasadnione wątpliwości co do bezstronności tych osób.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W związku z wejściem w życie w dniu 15 kwietnia 2022r. ustawy z dnia 13 kwietnia 2022r. o szczególnych rozwiązaniach w zakresie przeciwdziałania wspieraniu agresji na Ukrainę oraz służących ochronie bezpieczeństwa narodowego (zwanej dalej „ustawą”) w postępowaniach o udzielenie zamówienia publicznego oraz konkursach wyłączonych spod stosowania ustawy Pzp, w tym o wartości mniejszej niż 130 000 złotych, a wyższej/równej od 50 000 złotych, Beneficjenci powinni w zapytaniu ofertowym wskazać podstawy wykluczenia wymienione w art. 7 ust. 1 ustawy oraz żądać od Wykonawcy potwierdzenia (w formie odrębnego oświadczenia lub oświadczenia zamieszczonego np. w formularzu ofertowym), że nie podlega on wykluczeniu zgodnie z podstawami wskazanymi w ww. artykule ustawy. </w:t>
      </w: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W związku z powyższym na podstawie art. 7 ust. 1 ustawy z postępowania wyklucza się: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spacing w:line="36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spacing w:line="36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Wykonawcę oraz uczestnika konkursu, którego beneficjentem rzeczywistym w rozumieniu ustawy z dnia 1 marca 2018 r. o przeciwdziałaniu praniu pieniędzy oraz finansowaniu terroryzmu (Dz. U. z 2022r.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:rsidR="00000000" w:rsidDel="00000000" w:rsidP="00000000" w:rsidRDefault="00000000" w:rsidRPr="00000000" w14:paraId="00000076">
      <w:pPr>
        <w:numPr>
          <w:ilvl w:val="1"/>
          <w:numId w:val="2"/>
        </w:numPr>
        <w:spacing w:line="36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:rsidR="00000000" w:rsidDel="00000000" w:rsidP="00000000" w:rsidRDefault="00000000" w:rsidRPr="00000000" w14:paraId="00000077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13. Warunki zmiany umowy: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Zamawiający dopuszcza zmiany zawartej umowy z Wykonawcą w przypadkach i na warunkach jak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niżej: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Zmiana terminu realizacji zamówienia może nastąpić w przypadku opóźnień</w:t>
        <w:br w:type="textWrapping"/>
        <w:t xml:space="preserve">wynikających 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1"/>
          <w:numId w:val="4"/>
        </w:numPr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działania siły wyższej (np. klęski żywiołowe, strajki generalne lub lokalne, zjawiska gospodarcze) w pełni niezależnej od Stron umowy, mającej bezpośredni wpływ na termin wykonania dostawy;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4"/>
        </w:numPr>
        <w:spacing w:line="360" w:lineRule="auto"/>
        <w:ind w:left="1080" w:hanging="360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wystąpienia okoliczności, których Strony umowy nie były w stanie przewidzieć, pomimo zachowania należytej staranności.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Zamawiający przewiduje możliwość zmiany umowy, w przypadku gdy nastąpi zmiana powszechnie obowiązujących przepisów prawa w zakresie mającym wpływ na realizację przedmiotu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Zmiana postanowień zawartej umowy może nastąpić za zgodą Zamawiającego i Wykonawcy w formie pisemnej pod rygorem nieważności.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14. Sposób udzielania informacji i wyjaśnień: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Szczegółowych informacji nt. przedmiotu zamówienia udziela A</w:t>
      </w:r>
      <w:r w:rsidDel="00000000" w:rsidR="00000000" w:rsidRPr="00000000">
        <w:rPr>
          <w:rtl w:val="0"/>
        </w:rPr>
        <w:t xml:space="preserve">ndrzej Łoziński</w:t>
      </w: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, 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office@maxprocnc.pl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tel. </w:t>
      </w:r>
      <w:r w:rsidDel="00000000" w:rsidR="00000000" w:rsidRPr="00000000">
        <w:rPr>
          <w:rtl w:val="0"/>
        </w:rPr>
        <w:t xml:space="preserve">503-751-908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jc w:val="left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15. Uwagi końcowe: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Postępowanie prowadzone jest w języku polskim. Dokumenty sporządzone w języku obcym muszą zostać złożone wraz z tłumaczeniem na język polski.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Zamawiający zastrzega sobie prawo do niewybrania żadnej z ofert złożonych w wyniku niniejszego postępowania.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Zamawiający zastrzega sobie prawo do unieważnienia postępowania bez podania uzasadnienia, a także do pozostawienia postępowania bez wyboru oferty.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W toku badania i oceny oferty Zamawiający Zastrzega sobie prawo do wezwania Oferenta do uzupełnienia braków, korekty błędów lub wyjaśnień treści złożonych ofert. W powyższym celu Zamawiający wyznaczy zakres wymaganych korekt i/lub uzupełnień oraz odpowiedni termin na ich dokonanie. Niedotrzymanie tego terminu będzie skutkować odrzuceniem oferty.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Zamawiający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może być pociągnięty do odpowiedzialności za jakiekolwiek koszty czy wydatki poniesione przez oferentów w związku z przygotowaniem i dostarczeniem oferty.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Niniejsze Zapytanie ofertowe zostało umieszczone na stronie internetowej: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https://bazakonkurencyjnosci.funduszeeuropejskie.gov.pl/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oraz w wersji oryginalnej w siedzibie Zamawiającego.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g) Zamawiający zastrzega sobie prawo do zmiany treści niniejszego zapytania. Jeżeli zmiany będą mogły mieć wpływ na treść składanych w postępowaniu ofert Zamawiający przedłuży termin składania ofert. Dokonane zmiany zostaną wprowadzone na stronie internetowej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https://bazakonkurencyjnosci.funduszeeuropejskie.gov.pl/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h) Od prowadzonego postępowania nie przysługują Oferentom środki ochrony prawnej (protest, odwołanie, skarga) określone odpowiednio w przepisach ustawy Prawo zamówień publicznych.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Klauzula informacyjna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  Administratorem danych osobowych jest Zamawiający.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Administrator przetwarza dane osobowe Wykonawcy lub udostępnione przez Wykonawcę</w:t>
        <w:br w:type="textWrapping"/>
        <w:t xml:space="preserve">w celu: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Wyboru oferty, zawarcia z wybranym wykonawcą umowy o realizację zamówienia objętego niniejszym zapytaniem oraz jej realizacji (art. 6 ust. 1 pkt. b Rozporządzenia RODO)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realizacji obowiązków prawnych ciążących na Administratorze w zakresie przeprowadzenia procedury udzielenia Zamówienia i rozliczenia Zamówienia, które jest współfinansowane ze środków Unii Europejskiej, tj. obowiązków związanych z monitoringiem, ewaluacją i sprawozdawczością w ramach Projektu, jak również obowiązków rachunkowych i podatkowych (art. 6 ust. 1 pkt. e Rozporządzenia RODO),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przetwarzanie jest niezbędne do celów wynikających z prawnie uzasadnionych interesów realizowanych przez Administratora – tj. w celu udzielenia, realizacji i rozliczenia Zamówienia oraz dochodzenia ewentualnych roszczeń związanych z udzieleniem Zamówienia (art. 6 ust. 1 pkt. f Rozporządzenia RODO).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c) Dane osobowe mogą być przekazywane Instytucjom, które udzieliły dofinansowania Projektu i są uprawnione do jego kontroli, a także obsłudze księgowej lub prawnej Projektu, w takim zakresie, w jakim jest to niezbędne.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d) Obowiązek podania danych osobowych nie wynika z ustawy, ani z umowy - podanie danych osobowych jest zatem dobrowolne. Podanie danych może być jednak niezbędne, aby ubiegać się o udzielenie zamówienia oraz do zawarcia i realizacji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e) Dane osobowe podlegają przetwarzaniu, w tym archiwizowaniu, przez okres realizacji, ewaluacji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i trwałości Projektu, a następnie przez okres, w którym niezbędne jest przechowywanie dokumentacji Projektu.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f) Wykonawca może w każdym czasie żądać od Administratora dostępu do jego danych osobowych oraz ich sprostowania.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g) Wykonawca może żądać usunięcia danych, ograniczenia przetwarzania danych lub ich przeniesienia na rzecz innych podmiotów.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h) Jeżeli Wykonawca sądzi, że przetwarzanie danych osobowych narusza przepisy prawa, może wnieść skargę do Prezesa Urzędu Ochrony Danych Osobowych.</w:t>
      </w:r>
    </w:p>
    <w:p w:rsidR="00000000" w:rsidDel="00000000" w:rsidP="00000000" w:rsidRDefault="00000000" w:rsidRPr="00000000" w14:paraId="0000009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Z poważaniem,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Andrzej Łoziński </w:t>
      </w:r>
    </w:p>
    <w:p w:rsidR="00000000" w:rsidDel="00000000" w:rsidP="00000000" w:rsidRDefault="00000000" w:rsidRPr="00000000" w14:paraId="000000A0">
      <w:pPr>
        <w:spacing w:line="36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Maxpro CNC Sp. z o.o.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Załącznik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 Ofertowy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…..............................   dnia ........……………..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                                    (miejscowość)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Dane oferenta: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jc w:val="left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(nazwa i adres siedziby głównej)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Oferta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 odpowiedzi na upublicznione zapytanie ofertowe nr.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1/10/2022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przedkładamy ofertę na: Zakup automatycznej linii produkcyjnej wraz z bezpłatną dostawą, montażem, instalacją oraz instruktażem stanowiskowym do siedziby Zamawiającego (Meble AD Elżbieta Opalińska Drahan, 58-306 Wałbrzych, ul. Rzeczna 3a)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 Cena oferty: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48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a. Netto: ……………………………..zł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48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b. Podatek VAT ……% …………….zł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48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c. Brutto: ……………………………zł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48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Gwarancja (w miesiącach):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48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48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Termin realizacji: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48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48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Termin ważności oferty (minimum 30 dni)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48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Oświadczenia Wykonawcy </w:t>
      </w:r>
    </w:p>
    <w:p w:rsidR="00000000" w:rsidDel="00000000" w:rsidP="00000000" w:rsidRDefault="00000000" w:rsidRPr="00000000" w14:paraId="000000B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1) Wykonawca oświadcza, że zna i akceptuje warunki realizacji zamówienia określone w zapytaniu ofertowym, nie wnosi żadnych zastrzeżeń i uwag w tym zakresie i zobowiązuje się wykonać zamówienie na wskazanych przez Zamawiającego warunkach</w:t>
      </w:r>
    </w:p>
    <w:p w:rsidR="00000000" w:rsidDel="00000000" w:rsidP="00000000" w:rsidRDefault="00000000" w:rsidRPr="00000000" w14:paraId="000000B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2) Wykonawca posiada uprawnienia do wykonywania określonej działalności lub czynności, jeżeli przepisy prawa nakładają obowiązek ich posiadania. </w:t>
      </w:r>
    </w:p>
    <w:p w:rsidR="00000000" w:rsidDel="00000000" w:rsidP="00000000" w:rsidRDefault="00000000" w:rsidRPr="00000000" w14:paraId="000000B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3) Wykonawca posiada niezbędną wiedzę dotyczącą przedmiotu zamówienia oraz dysponuje odpowiednim potencjałem technicznym i osobami zdolnymi do wykonania zamówienia. </w:t>
      </w:r>
    </w:p>
    <w:p w:rsidR="00000000" w:rsidDel="00000000" w:rsidP="00000000" w:rsidRDefault="00000000" w:rsidRPr="00000000" w14:paraId="000000B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4) Wykonawca znajduje się w sytuacji ekonomicznej i finansowej zapewniającej wykonanie zamówienia we wskazanym terminie. </w:t>
      </w:r>
    </w:p>
    <w:p w:rsidR="00000000" w:rsidDel="00000000" w:rsidP="00000000" w:rsidRDefault="00000000" w:rsidRPr="00000000" w14:paraId="000000C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5)  Wykonawca oświadcza, że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związanych z przygotowaniem</w:t>
        <w:br w:type="textWrapping"/>
        <w:t xml:space="preserve">i przeprowadzeniem procedury wyboru Wykonawcy a Wykonawcą, polegające w szczególności na:</w:t>
      </w:r>
    </w:p>
    <w:p w:rsidR="00000000" w:rsidDel="00000000" w:rsidP="00000000" w:rsidRDefault="00000000" w:rsidRPr="00000000" w14:paraId="000000C1">
      <w:pPr>
        <w:numPr>
          <w:ilvl w:val="0"/>
          <w:numId w:val="8"/>
        </w:numPr>
        <w:spacing w:line="360" w:lineRule="auto"/>
        <w:ind w:left="780" w:hanging="360"/>
        <w:jc w:val="both"/>
        <w:rPr/>
      </w:pPr>
      <w:r w:rsidDel="00000000" w:rsidR="00000000" w:rsidRPr="00000000">
        <w:rPr>
          <w:rtl w:val="0"/>
        </w:rPr>
        <w:t xml:space="preserve">uczestniczeniu w spółce jako wspólnik spółki cywilnej lub spółki osobowej; </w:t>
      </w:r>
    </w:p>
    <w:p w:rsidR="00000000" w:rsidDel="00000000" w:rsidP="00000000" w:rsidRDefault="00000000" w:rsidRPr="00000000" w14:paraId="000000C2">
      <w:pPr>
        <w:numPr>
          <w:ilvl w:val="0"/>
          <w:numId w:val="8"/>
        </w:numPr>
        <w:spacing w:line="360" w:lineRule="auto"/>
        <w:ind w:left="780" w:hanging="360"/>
        <w:jc w:val="both"/>
        <w:rPr/>
      </w:pPr>
      <w:r w:rsidDel="00000000" w:rsidR="00000000" w:rsidRPr="00000000">
        <w:rPr>
          <w:rtl w:val="0"/>
        </w:rPr>
        <w:t xml:space="preserve">posiadaniu co najmniej 10% udziałów lub akcji, o ile niższy próg nie wynika z przepisów prawa;</w:t>
      </w:r>
    </w:p>
    <w:p w:rsidR="00000000" w:rsidDel="00000000" w:rsidP="00000000" w:rsidRDefault="00000000" w:rsidRPr="00000000" w14:paraId="000000C3">
      <w:pPr>
        <w:numPr>
          <w:ilvl w:val="0"/>
          <w:numId w:val="8"/>
        </w:numPr>
        <w:spacing w:line="360" w:lineRule="auto"/>
        <w:ind w:left="780" w:hanging="360"/>
        <w:jc w:val="both"/>
        <w:rPr/>
      </w:pPr>
      <w:r w:rsidDel="00000000" w:rsidR="00000000" w:rsidRPr="00000000">
        <w:rPr>
          <w:rtl w:val="0"/>
        </w:rPr>
        <w:t xml:space="preserve">pełnieniu funkcji członka organu nadzorczego lub zarządzającego, prokurenta, pełnomocnika; </w:t>
      </w:r>
    </w:p>
    <w:p w:rsidR="00000000" w:rsidDel="00000000" w:rsidP="00000000" w:rsidRDefault="00000000" w:rsidRPr="00000000" w14:paraId="000000C4">
      <w:pPr>
        <w:numPr>
          <w:ilvl w:val="0"/>
          <w:numId w:val="8"/>
        </w:numPr>
        <w:spacing w:line="360" w:lineRule="auto"/>
        <w:ind w:left="780" w:hanging="360"/>
        <w:jc w:val="both"/>
        <w:rPr/>
      </w:pPr>
      <w:r w:rsidDel="00000000" w:rsidR="00000000" w:rsidRPr="00000000">
        <w:rPr>
          <w:rtl w:val="0"/>
        </w:rPr>
        <w:t xml:space="preserve">pozostawaniu w związku małżeńskim, w stosunku pokrewieństwa lub powinowactwa w linii prostej, pokrewieństwa lub powinowactwa w linii bocznej do drugiego stopnia lub są związane z tytułu przysposobienia, opieki lub kurateli z wykonawcą, jego zastępcą prawnym lub członkami organów zarządzających lub organów nadzorczych wykonawców ubiegających się o udzielenie zamówienia; </w:t>
      </w:r>
    </w:p>
    <w:p w:rsidR="00000000" w:rsidDel="00000000" w:rsidP="00000000" w:rsidRDefault="00000000" w:rsidRPr="00000000" w14:paraId="000000C5">
      <w:pPr>
        <w:numPr>
          <w:ilvl w:val="0"/>
          <w:numId w:val="8"/>
        </w:numPr>
        <w:spacing w:line="360" w:lineRule="auto"/>
        <w:ind w:left="780" w:hanging="360"/>
        <w:jc w:val="both"/>
        <w:rPr/>
      </w:pPr>
      <w:r w:rsidDel="00000000" w:rsidR="00000000" w:rsidRPr="00000000">
        <w:rPr>
          <w:rtl w:val="0"/>
        </w:rPr>
        <w:t xml:space="preserve">pozostawaniu z wykonawcą w takim stosunku prawnym lub faktycznym, że może to budzić uzasadnione wątpliwości co do bezstronności tych osób. </w:t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spacing w:line="36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Wykonawca oświadcza, że nie podlega wykluczeniu na podstawie ustawy z dnia 13 kwietnia 2022r. o szczególnych rozwiązaniach w zakresie przeciwdziałania wspieraniu agresji na Ukrainę oraz służących ochronie bezpieczeństwa narodowego (zwanej dalej „ustawą”) w postępowaniach o udzielenie zamówienia publicznego oraz konkursach wyłączonych spod stosowania ustawy Pzp, w tym o wartości mniejszej niż 130 000 złotych, a wyższej/równej od 50 000 złotych, gdzie na podstawie art. 7 ust. 1 ustawy z postępowania wyklucza się:</w:t>
      </w:r>
    </w:p>
    <w:p w:rsidR="00000000" w:rsidDel="00000000" w:rsidP="00000000" w:rsidRDefault="00000000" w:rsidRPr="00000000" w14:paraId="000000C7">
      <w:pPr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7"/>
        </w:numPr>
        <w:tabs>
          <w:tab w:val="left" w:leader="none" w:pos="0"/>
        </w:tabs>
        <w:spacing w:line="360" w:lineRule="auto"/>
        <w:ind w:left="707" w:hanging="283"/>
        <w:jc w:val="both"/>
        <w:rPr/>
      </w:pPr>
      <w:r w:rsidDel="00000000" w:rsidR="00000000" w:rsidRPr="00000000">
        <w:rPr>
          <w:rtl w:val="0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:rsidR="00000000" w:rsidDel="00000000" w:rsidP="00000000" w:rsidRDefault="00000000" w:rsidRPr="00000000" w14:paraId="000000C9">
      <w:pPr>
        <w:numPr>
          <w:ilvl w:val="0"/>
          <w:numId w:val="7"/>
        </w:numPr>
        <w:tabs>
          <w:tab w:val="left" w:leader="none" w:pos="0"/>
        </w:tabs>
        <w:spacing w:line="360" w:lineRule="auto"/>
        <w:ind w:left="707" w:hanging="283"/>
        <w:jc w:val="both"/>
        <w:rPr/>
      </w:pPr>
      <w:r w:rsidDel="00000000" w:rsidR="00000000" w:rsidRPr="00000000">
        <w:rPr>
          <w:rtl w:val="0"/>
        </w:rPr>
        <w:t xml:space="preserve">Wykonawcę oraz uczestnika konkursu, którego beneficjentem rzeczywistym w rozumieniu ustawy z dnia 1 marca 2018 r. o przeciwdziałaniu praniu pieniędzy oraz finansowaniu terroryzmu (Dz. U. z 2022r.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:rsidR="00000000" w:rsidDel="00000000" w:rsidP="00000000" w:rsidRDefault="00000000" w:rsidRPr="00000000" w14:paraId="000000CA">
      <w:pPr>
        <w:numPr>
          <w:ilvl w:val="0"/>
          <w:numId w:val="7"/>
        </w:numPr>
        <w:tabs>
          <w:tab w:val="left" w:leader="none" w:pos="0"/>
        </w:tabs>
        <w:spacing w:line="360" w:lineRule="auto"/>
        <w:ind w:left="707" w:hanging="283"/>
        <w:jc w:val="both"/>
        <w:rPr/>
      </w:pPr>
      <w:r w:rsidDel="00000000" w:rsidR="00000000" w:rsidRPr="00000000">
        <w:rPr>
          <w:rtl w:val="0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:rsidR="00000000" w:rsidDel="00000000" w:rsidP="00000000" w:rsidRDefault="00000000" w:rsidRPr="00000000" w14:paraId="000000C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Załączniki do niniejszego formularza ofertowego: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Specyfikacja przedmiotu zamówienia (dodatkowy opis przedmiotu zamówienia).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 (podpis i pieczęć wystawcy oferty)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642" w:top="2101" w:left="1134" w:right="1134" w:header="47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68975" cy="85217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233" l="3113" r="-32" t="-233"/>
                  <a:stretch>
                    <a:fillRect/>
                  </a:stretch>
                </pic:blipFill>
                <pic:spPr>
                  <a:xfrm>
                    <a:off x="0" y="0"/>
                    <a:ext cx="5768975" cy="8521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bullet"/>
      <w:lvlText w:val="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bullet"/>
      <w:lvlText w:val="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bullet"/>
      <w:lvlText w:val="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5">
    <w:lvl w:ilvl="0">
      <w:start w:val="6"/>
      <w:numFmt w:val="decimal"/>
      <w:lvlText w:val="%1)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decimal"/>
      <w:lvlText w:val="%5."/>
      <w:lvlJc w:val="left"/>
      <w:pPr>
        <w:ind w:left="1800" w:hanging="360"/>
      </w:pPr>
      <w:rPr/>
    </w:lvl>
    <w:lvl w:ilvl="5">
      <w:start w:val="1"/>
      <w:numFmt w:val="decimal"/>
      <w:lvlText w:val="%6.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decimal"/>
      <w:lvlText w:val="%8."/>
      <w:lvlJc w:val="left"/>
      <w:pPr>
        <w:ind w:left="2880" w:hanging="360"/>
      </w:pPr>
      <w:rPr/>
    </w:lvl>
    <w:lvl w:ilvl="8">
      <w:start w:val="1"/>
      <w:numFmt w:val="decimal"/>
      <w:lvlText w:val="%9."/>
      <w:lvlJc w:val="left"/>
      <w:pPr>
        <w:ind w:left="324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80" w:hanging="360"/>
      </w:pPr>
      <w:rPr/>
    </w:lvl>
    <w:lvl w:ilvl="1">
      <w:start w:val="1"/>
      <w:numFmt w:val="bullet"/>
      <w:lvlText w:val="◦"/>
      <w:lvlJc w:val="left"/>
      <w:pPr>
        <w:ind w:left="1140" w:hanging="360"/>
      </w:pPr>
      <w:rPr/>
    </w:lvl>
    <w:lvl w:ilvl="2">
      <w:start w:val="1"/>
      <w:numFmt w:val="bullet"/>
      <w:lvlText w:val="▪"/>
      <w:lvlJc w:val="left"/>
      <w:pPr>
        <w:ind w:left="1500" w:hanging="360"/>
      </w:pPr>
      <w:rPr/>
    </w:lvl>
    <w:lvl w:ilvl="3">
      <w:start w:val="1"/>
      <w:numFmt w:val="bullet"/>
      <w:lvlText w:val=""/>
      <w:lvlJc w:val="left"/>
      <w:pPr>
        <w:ind w:left="1860" w:hanging="360"/>
      </w:pPr>
      <w:rPr/>
    </w:lvl>
    <w:lvl w:ilvl="4">
      <w:start w:val="1"/>
      <w:numFmt w:val="bullet"/>
      <w:lvlText w:val="◦"/>
      <w:lvlJc w:val="left"/>
      <w:pPr>
        <w:ind w:left="2220" w:hanging="360"/>
      </w:pPr>
      <w:rPr/>
    </w:lvl>
    <w:lvl w:ilvl="5">
      <w:start w:val="1"/>
      <w:numFmt w:val="bullet"/>
      <w:lvlText w:val="▪"/>
      <w:lvlJc w:val="left"/>
      <w:pPr>
        <w:ind w:left="2580" w:hanging="360"/>
      </w:pPr>
      <w:rPr/>
    </w:lvl>
    <w:lvl w:ilvl="6">
      <w:start w:val="1"/>
      <w:numFmt w:val="bullet"/>
      <w:lvlText w:val=""/>
      <w:lvlJc w:val="left"/>
      <w:pPr>
        <w:ind w:left="2940" w:hanging="360"/>
      </w:pPr>
      <w:rPr/>
    </w:lvl>
    <w:lvl w:ilvl="7">
      <w:start w:val="1"/>
      <w:numFmt w:val="bullet"/>
      <w:lvlText w:val="◦"/>
      <w:lvlJc w:val="left"/>
      <w:pPr>
        <w:ind w:left="3300" w:hanging="360"/>
      </w:pPr>
      <w:rPr/>
    </w:lvl>
    <w:lvl w:ilvl="8">
      <w:start w:val="1"/>
      <w:numFmt w:val="bullet"/>
      <w:lvlText w:val="▪"/>
      <w:lvlJc w:val="left"/>
      <w:pPr>
        <w:ind w:left="366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bazakonkurencyjnosci.funduszeeuropejskie.gov.pl/" TargetMode="External"/><Relationship Id="rId5" Type="http://schemas.openxmlformats.org/officeDocument/2006/relationships/styles" Target="styles.xml"/><Relationship Id="rId6" Type="http://schemas.openxmlformats.org/officeDocument/2006/relationships/hyperlink" Target="https://bazakonkurencyjnosci.funduszeeuropejskie.gov.pl/" TargetMode="External"/><Relationship Id="rId7" Type="http://schemas.openxmlformats.org/officeDocument/2006/relationships/hyperlink" Target="mailto:office@maxprocnc.pl" TargetMode="External"/><Relationship Id="rId8" Type="http://schemas.openxmlformats.org/officeDocument/2006/relationships/hyperlink" Target="https://bazakonkurencyjnosci.funduszeeuropejskie.gov.p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