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0F6" w:rsidRDefault="004170F6" w:rsidP="004170F6">
      <w:pPr>
        <w:rPr>
          <w:b/>
        </w:rPr>
      </w:pPr>
      <w:r>
        <w:rPr>
          <w:b/>
        </w:rPr>
        <w:t>CZĘŚĆ II ZAMÓWIENIA</w:t>
      </w:r>
      <w:r>
        <w:rPr>
          <w:b/>
        </w:rPr>
        <w:t xml:space="preserve">                                                                                                               Załącznik nr 4</w:t>
      </w:r>
    </w:p>
    <w:tbl>
      <w:tblPr>
        <w:tblStyle w:val="Tabela-Siatka"/>
        <w:tblpPr w:leftFromText="141" w:rightFromText="141" w:vertAnchor="text" w:tblpX="142" w:tblpY="1"/>
        <w:tblOverlap w:val="never"/>
        <w:tblW w:w="0" w:type="auto"/>
        <w:tblLook w:val="04A0" w:firstRow="1" w:lastRow="0" w:firstColumn="1" w:lastColumn="0" w:noHBand="0" w:noVBand="1"/>
      </w:tblPr>
      <w:tblGrid>
        <w:gridCol w:w="462"/>
        <w:gridCol w:w="2039"/>
        <w:gridCol w:w="1321"/>
        <w:gridCol w:w="5098"/>
      </w:tblGrid>
      <w:tr w:rsidR="004170F6" w:rsidTr="004170F6">
        <w:tc>
          <w:tcPr>
            <w:tcW w:w="462" w:type="dxa"/>
            <w:tcBorders>
              <w:top w:val="single" w:sz="4" w:space="0" w:color="auto"/>
              <w:left w:val="single" w:sz="4" w:space="0" w:color="auto"/>
              <w:bottom w:val="single" w:sz="4" w:space="0" w:color="auto"/>
              <w:right w:val="single" w:sz="4" w:space="0" w:color="auto"/>
            </w:tcBorders>
            <w:hideMark/>
          </w:tcPr>
          <w:p w:rsidR="004170F6" w:rsidRDefault="004170F6">
            <w:pPr>
              <w:pStyle w:val="Akapitzlist"/>
              <w:spacing w:line="360" w:lineRule="auto"/>
              <w:ind w:left="0"/>
              <w:jc w:val="both"/>
              <w:rPr>
                <w:rFonts w:ascii="Arial" w:hAnsi="Arial" w:cs="Arial"/>
                <w:b/>
                <w:sz w:val="20"/>
                <w:szCs w:val="20"/>
              </w:rPr>
            </w:pPr>
            <w:proofErr w:type="spellStart"/>
            <w:r>
              <w:rPr>
                <w:rFonts w:ascii="Arial" w:hAnsi="Arial" w:cs="Arial"/>
                <w:b/>
                <w:sz w:val="20"/>
                <w:szCs w:val="20"/>
              </w:rPr>
              <w:t>Lp</w:t>
            </w:r>
            <w:proofErr w:type="spellEnd"/>
          </w:p>
        </w:tc>
        <w:tc>
          <w:tcPr>
            <w:tcW w:w="2039" w:type="dxa"/>
            <w:tcBorders>
              <w:top w:val="single" w:sz="4" w:space="0" w:color="auto"/>
              <w:left w:val="single" w:sz="4" w:space="0" w:color="auto"/>
              <w:bottom w:val="single" w:sz="4" w:space="0" w:color="auto"/>
              <w:right w:val="single" w:sz="4" w:space="0" w:color="auto"/>
            </w:tcBorders>
            <w:hideMark/>
          </w:tcPr>
          <w:p w:rsidR="004170F6" w:rsidRDefault="004170F6">
            <w:pPr>
              <w:pStyle w:val="Akapitzlist"/>
              <w:spacing w:line="360" w:lineRule="auto"/>
              <w:ind w:left="0"/>
              <w:jc w:val="both"/>
              <w:rPr>
                <w:rFonts w:ascii="Arial" w:hAnsi="Arial" w:cs="Arial"/>
                <w:b/>
                <w:sz w:val="20"/>
                <w:szCs w:val="20"/>
              </w:rPr>
            </w:pPr>
            <w:r>
              <w:rPr>
                <w:rFonts w:ascii="Arial" w:hAnsi="Arial" w:cs="Arial"/>
                <w:b/>
                <w:sz w:val="20"/>
                <w:szCs w:val="20"/>
              </w:rPr>
              <w:t xml:space="preserve">      Nazwa sprzętu</w:t>
            </w:r>
          </w:p>
        </w:tc>
        <w:tc>
          <w:tcPr>
            <w:tcW w:w="1321" w:type="dxa"/>
            <w:tcBorders>
              <w:top w:val="single" w:sz="4" w:space="0" w:color="auto"/>
              <w:left w:val="single" w:sz="4" w:space="0" w:color="auto"/>
              <w:bottom w:val="single" w:sz="4" w:space="0" w:color="auto"/>
              <w:right w:val="single" w:sz="4" w:space="0" w:color="auto"/>
            </w:tcBorders>
            <w:hideMark/>
          </w:tcPr>
          <w:p w:rsidR="004170F6" w:rsidRDefault="004170F6">
            <w:pPr>
              <w:pStyle w:val="Akapitzlist"/>
              <w:spacing w:line="360" w:lineRule="auto"/>
              <w:ind w:left="0"/>
              <w:jc w:val="both"/>
              <w:rPr>
                <w:rFonts w:ascii="Arial" w:hAnsi="Arial" w:cs="Arial"/>
                <w:b/>
                <w:sz w:val="20"/>
                <w:szCs w:val="20"/>
              </w:rPr>
            </w:pPr>
            <w:r>
              <w:rPr>
                <w:rFonts w:ascii="Arial" w:hAnsi="Arial" w:cs="Arial"/>
                <w:b/>
                <w:sz w:val="20"/>
                <w:szCs w:val="20"/>
              </w:rPr>
              <w:t>zestaw/szt.</w:t>
            </w:r>
          </w:p>
        </w:tc>
        <w:tc>
          <w:tcPr>
            <w:tcW w:w="5098" w:type="dxa"/>
            <w:tcBorders>
              <w:top w:val="single" w:sz="4" w:space="0" w:color="auto"/>
              <w:left w:val="single" w:sz="4" w:space="0" w:color="auto"/>
              <w:bottom w:val="single" w:sz="4" w:space="0" w:color="auto"/>
              <w:right w:val="single" w:sz="4" w:space="0" w:color="auto"/>
            </w:tcBorders>
            <w:hideMark/>
          </w:tcPr>
          <w:p w:rsidR="004170F6" w:rsidRDefault="004170F6">
            <w:pPr>
              <w:pStyle w:val="Akapitzlist"/>
              <w:spacing w:line="360" w:lineRule="auto"/>
              <w:ind w:left="0"/>
              <w:jc w:val="both"/>
              <w:rPr>
                <w:rFonts w:ascii="Arial" w:hAnsi="Arial" w:cs="Arial"/>
                <w:b/>
                <w:sz w:val="20"/>
                <w:szCs w:val="20"/>
              </w:rPr>
            </w:pPr>
            <w:r>
              <w:rPr>
                <w:rFonts w:ascii="Arial" w:hAnsi="Arial" w:cs="Arial"/>
                <w:b/>
                <w:sz w:val="20"/>
                <w:szCs w:val="20"/>
              </w:rPr>
              <w:t xml:space="preserve"> Wymagane minimalne parametry techniczne</w:t>
            </w:r>
          </w:p>
        </w:tc>
      </w:tr>
      <w:tr w:rsidR="004170F6" w:rsidTr="004170F6">
        <w:tc>
          <w:tcPr>
            <w:tcW w:w="462" w:type="dxa"/>
            <w:tcBorders>
              <w:top w:val="single" w:sz="4" w:space="0" w:color="auto"/>
              <w:left w:val="single" w:sz="4" w:space="0" w:color="auto"/>
              <w:bottom w:val="single" w:sz="4" w:space="0" w:color="auto"/>
              <w:right w:val="single" w:sz="4" w:space="0" w:color="auto"/>
            </w:tcBorders>
          </w:tcPr>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1.</w:t>
            </w:r>
          </w:p>
          <w:p w:rsidR="004170F6" w:rsidRDefault="004170F6">
            <w:pPr>
              <w:pStyle w:val="Akapitzlist"/>
              <w:spacing w:line="360" w:lineRule="auto"/>
              <w:ind w:left="0"/>
              <w:jc w:val="both"/>
              <w:rPr>
                <w:rFonts w:ascii="Arial" w:hAnsi="Arial" w:cs="Arial"/>
                <w:b/>
                <w:sz w:val="20"/>
                <w:szCs w:val="20"/>
              </w:rPr>
            </w:pPr>
            <w:r>
              <w:rPr>
                <w:rFonts w:ascii="Arial" w:hAnsi="Arial" w:cs="Arial"/>
                <w:b/>
                <w:sz w:val="20"/>
                <w:szCs w:val="20"/>
              </w:rPr>
              <w:t xml:space="preserve">  </w:t>
            </w: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b/>
                <w:sz w:val="20"/>
                <w:szCs w:val="20"/>
              </w:rPr>
            </w:pPr>
          </w:p>
          <w:p w:rsidR="004170F6" w:rsidRDefault="004170F6">
            <w:pPr>
              <w:pStyle w:val="Akapitzlist"/>
              <w:spacing w:line="360" w:lineRule="auto"/>
              <w:ind w:left="0"/>
              <w:jc w:val="both"/>
              <w:rPr>
                <w:rFonts w:ascii="Arial" w:hAnsi="Arial" w:cs="Arial"/>
                <w:sz w:val="20"/>
                <w:szCs w:val="20"/>
              </w:rPr>
            </w:pPr>
            <w:r>
              <w:rPr>
                <w:rFonts w:ascii="Arial" w:hAnsi="Arial" w:cs="Arial"/>
                <w:sz w:val="20"/>
                <w:szCs w:val="20"/>
              </w:rPr>
              <w:t xml:space="preserve"> 2.</w:t>
            </w: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360" w:lineRule="auto"/>
              <w:ind w:left="0"/>
              <w:jc w:val="both"/>
              <w:rPr>
                <w:rFonts w:ascii="Arial" w:hAnsi="Arial" w:cs="Arial"/>
                <w:sz w:val="20"/>
                <w:szCs w:val="20"/>
              </w:rPr>
            </w:pPr>
          </w:p>
          <w:p w:rsidR="004170F6" w:rsidRDefault="004170F6">
            <w:pPr>
              <w:pStyle w:val="Akapitzlist"/>
              <w:spacing w:line="240" w:lineRule="auto"/>
              <w:ind w:left="0"/>
              <w:jc w:val="both"/>
              <w:rPr>
                <w:rFonts w:ascii="Arial" w:hAnsi="Arial" w:cs="Arial"/>
                <w:sz w:val="20"/>
                <w:szCs w:val="20"/>
              </w:rPr>
            </w:pPr>
            <w:r>
              <w:rPr>
                <w:rFonts w:ascii="Arial" w:hAnsi="Arial" w:cs="Arial"/>
                <w:sz w:val="20"/>
                <w:szCs w:val="20"/>
              </w:rPr>
              <w:t>3.</w:t>
            </w:r>
          </w:p>
          <w:p w:rsidR="004170F6" w:rsidRDefault="004170F6">
            <w:pPr>
              <w:pStyle w:val="Akapitzlist"/>
              <w:spacing w:line="360" w:lineRule="auto"/>
              <w:ind w:left="0"/>
              <w:jc w:val="both"/>
              <w:rPr>
                <w:rFonts w:ascii="Arial" w:hAnsi="Arial" w:cs="Arial"/>
                <w:sz w:val="20"/>
                <w:szCs w:val="20"/>
              </w:rPr>
            </w:pPr>
          </w:p>
        </w:tc>
        <w:tc>
          <w:tcPr>
            <w:tcW w:w="2039" w:type="dxa"/>
            <w:tcBorders>
              <w:top w:val="single" w:sz="4" w:space="0" w:color="auto"/>
              <w:left w:val="single" w:sz="4" w:space="0" w:color="auto"/>
              <w:bottom w:val="single" w:sz="4" w:space="0" w:color="auto"/>
              <w:right w:val="single" w:sz="4" w:space="0" w:color="auto"/>
            </w:tcBorders>
          </w:tcPr>
          <w:p w:rsidR="004170F6" w:rsidRDefault="004170F6">
            <w:pPr>
              <w:pStyle w:val="Akapitzlist"/>
              <w:spacing w:line="240" w:lineRule="auto"/>
              <w:ind w:left="0"/>
              <w:jc w:val="both"/>
              <w:rPr>
                <w:rFonts w:ascii="Times New Roman" w:hAnsi="Times New Roman" w:cs="Times New Roman"/>
                <w:b/>
              </w:rPr>
            </w:pPr>
          </w:p>
          <w:p w:rsidR="004170F6" w:rsidRDefault="004170F6">
            <w:pPr>
              <w:spacing w:line="240" w:lineRule="auto"/>
              <w:rPr>
                <w:rFonts w:ascii="Times New Roman" w:hAnsi="Times New Roman" w:cs="Times New Roman"/>
                <w:bCs/>
              </w:rPr>
            </w:pPr>
            <w:r>
              <w:rPr>
                <w:rFonts w:ascii="Times New Roman" w:hAnsi="Times New Roman" w:cs="Times New Roman"/>
                <w:bCs/>
              </w:rPr>
              <w:t xml:space="preserve">Konsola do gier </w:t>
            </w:r>
            <w:r>
              <w:rPr>
                <w:rFonts w:ascii="Times New Roman" w:hAnsi="Times New Roman" w:cs="Times New Roman"/>
                <w:bCs/>
              </w:rPr>
              <w:br/>
              <w:t>z akcesoriami</w:t>
            </w: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r>
              <w:rPr>
                <w:rFonts w:ascii="Times New Roman" w:hAnsi="Times New Roman" w:cs="Times New Roman"/>
                <w:bCs/>
              </w:rPr>
              <w:t xml:space="preserve"> Monitor interaktywny</w:t>
            </w: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line="240" w:lineRule="auto"/>
              <w:rPr>
                <w:rFonts w:ascii="Times New Roman" w:hAnsi="Times New Roman" w:cs="Times New Roman"/>
                <w:bCs/>
              </w:rPr>
            </w:pPr>
          </w:p>
          <w:p w:rsidR="004170F6" w:rsidRDefault="004170F6">
            <w:pPr>
              <w:spacing w:before="100" w:beforeAutospacing="1" w:after="100" w:afterAutospacing="1" w:line="240" w:lineRule="auto"/>
              <w:outlineLvl w:val="0"/>
              <w:rPr>
                <w:rFonts w:ascii="Times New Roman" w:hAnsi="Times New Roman" w:cs="Times New Roman"/>
              </w:rPr>
            </w:pPr>
            <w:r>
              <w:rPr>
                <w:rFonts w:ascii="Times New Roman" w:eastAsia="Times New Roman" w:hAnsi="Times New Roman" w:cs="Times New Roman"/>
                <w:bCs/>
                <w:kern w:val="36"/>
                <w:lang w:eastAsia="pl-PL"/>
              </w:rPr>
              <w:t>Statyw do monitora interaktywnego</w:t>
            </w:r>
          </w:p>
          <w:p w:rsidR="004170F6" w:rsidRDefault="004170F6">
            <w:pPr>
              <w:spacing w:line="240" w:lineRule="auto"/>
              <w:rPr>
                <w:rFonts w:ascii="Times New Roman" w:hAnsi="Times New Roman" w:cs="Times New Roman"/>
                <w:bCs/>
              </w:rPr>
            </w:pPr>
          </w:p>
          <w:p w:rsidR="004170F6" w:rsidRDefault="004170F6">
            <w:pPr>
              <w:pStyle w:val="Akapitzlist"/>
              <w:spacing w:line="240" w:lineRule="auto"/>
              <w:ind w:left="0"/>
              <w:jc w:val="both"/>
              <w:rPr>
                <w:rFonts w:ascii="Times New Roman" w:hAnsi="Times New Roman" w:cs="Times New Roman"/>
              </w:rPr>
            </w:pPr>
          </w:p>
        </w:tc>
        <w:tc>
          <w:tcPr>
            <w:tcW w:w="1321" w:type="dxa"/>
            <w:tcBorders>
              <w:top w:val="single" w:sz="4" w:space="0" w:color="auto"/>
              <w:left w:val="single" w:sz="4" w:space="0" w:color="auto"/>
              <w:bottom w:val="single" w:sz="4" w:space="0" w:color="auto"/>
              <w:right w:val="single" w:sz="4" w:space="0" w:color="auto"/>
            </w:tcBorders>
          </w:tcPr>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r>
              <w:rPr>
                <w:rFonts w:ascii="Times New Roman" w:hAnsi="Times New Roman" w:cs="Times New Roman"/>
              </w:rPr>
              <w:t xml:space="preserve">      1</w:t>
            </w: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r>
              <w:rPr>
                <w:rFonts w:ascii="Times New Roman" w:hAnsi="Times New Roman" w:cs="Times New Roman"/>
              </w:rPr>
              <w:t xml:space="preserve">          2</w:t>
            </w: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r>
              <w:rPr>
                <w:rFonts w:ascii="Times New Roman" w:hAnsi="Times New Roman" w:cs="Times New Roman"/>
              </w:rPr>
              <w:t xml:space="preserve">    </w:t>
            </w: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p>
          <w:p w:rsidR="004170F6" w:rsidRDefault="004170F6">
            <w:pPr>
              <w:pStyle w:val="Akapitzlist"/>
              <w:spacing w:line="240" w:lineRule="auto"/>
              <w:ind w:left="0"/>
              <w:jc w:val="both"/>
              <w:rPr>
                <w:rFonts w:ascii="Times New Roman" w:hAnsi="Times New Roman" w:cs="Times New Roman"/>
              </w:rPr>
            </w:pPr>
            <w:r>
              <w:rPr>
                <w:rFonts w:ascii="Times New Roman" w:hAnsi="Times New Roman" w:cs="Times New Roman"/>
              </w:rPr>
              <w:t xml:space="preserve">        2</w:t>
            </w:r>
          </w:p>
        </w:tc>
        <w:tc>
          <w:tcPr>
            <w:tcW w:w="5098" w:type="dxa"/>
            <w:tcBorders>
              <w:top w:val="single" w:sz="4" w:space="0" w:color="auto"/>
              <w:left w:val="single" w:sz="4" w:space="0" w:color="auto"/>
              <w:bottom w:val="single" w:sz="4" w:space="0" w:color="auto"/>
              <w:right w:val="single" w:sz="4" w:space="0" w:color="auto"/>
            </w:tcBorders>
          </w:tcPr>
          <w:p w:rsidR="004170F6" w:rsidRDefault="004170F6">
            <w:pPr>
              <w:pStyle w:val="Akapitzlist"/>
              <w:autoSpaceDE w:val="0"/>
              <w:autoSpaceDN w:val="0"/>
              <w:adjustRightInd w:val="0"/>
              <w:spacing w:line="240" w:lineRule="auto"/>
              <w:rPr>
                <w:rFonts w:ascii="Times New Roman" w:hAnsi="Times New Roman" w:cs="Times New Roman"/>
              </w:rPr>
            </w:pPr>
          </w:p>
          <w:p w:rsidR="004170F6" w:rsidRDefault="004170F6">
            <w:pPr>
              <w:spacing w:line="240" w:lineRule="auto"/>
              <w:rPr>
                <w:rFonts w:ascii="Times New Roman" w:hAnsi="Times New Roman" w:cs="Times New Roman"/>
              </w:rPr>
            </w:pPr>
            <w:r>
              <w:rPr>
                <w:rFonts w:ascii="Times New Roman" w:hAnsi="Times New Roman" w:cs="Times New Roman"/>
              </w:rPr>
              <w:t>Rodzaj:</w:t>
            </w:r>
            <w:r>
              <w:rPr>
                <w:rFonts w:ascii="Times New Roman" w:hAnsi="Times New Roman" w:cs="Times New Roman"/>
              </w:rPr>
              <w:tab/>
              <w:t>przenośna, stacjonarna</w:t>
            </w:r>
          </w:p>
          <w:p w:rsidR="004170F6" w:rsidRDefault="004170F6">
            <w:pPr>
              <w:spacing w:line="240" w:lineRule="auto"/>
              <w:rPr>
                <w:rFonts w:ascii="Times New Roman" w:hAnsi="Times New Roman" w:cs="Times New Roman"/>
              </w:rPr>
            </w:pPr>
            <w:r>
              <w:rPr>
                <w:rFonts w:ascii="Times New Roman" w:hAnsi="Times New Roman" w:cs="Times New Roman"/>
              </w:rPr>
              <w:t xml:space="preserve">Pojemność dysku twardego: 32 GB </w:t>
            </w:r>
          </w:p>
          <w:p w:rsidR="004170F6" w:rsidRDefault="004170F6">
            <w:pPr>
              <w:spacing w:line="240" w:lineRule="auto"/>
              <w:rPr>
                <w:rFonts w:ascii="Times New Roman" w:hAnsi="Times New Roman" w:cs="Times New Roman"/>
              </w:rPr>
            </w:pPr>
            <w:r>
              <w:rPr>
                <w:rFonts w:ascii="Times New Roman" w:hAnsi="Times New Roman" w:cs="Times New Roman"/>
              </w:rPr>
              <w:t xml:space="preserve">Czytnik kart pamięci </w:t>
            </w:r>
            <w:proofErr w:type="spellStart"/>
            <w:r>
              <w:rPr>
                <w:rFonts w:ascii="Times New Roman" w:hAnsi="Times New Roman" w:cs="Times New Roman"/>
              </w:rPr>
              <w:t>microSD</w:t>
            </w:r>
            <w:proofErr w:type="spellEnd"/>
            <w:r>
              <w:rPr>
                <w:rFonts w:ascii="Times New Roman" w:hAnsi="Times New Roman" w:cs="Times New Roman"/>
              </w:rPr>
              <w:t xml:space="preserve"> </w:t>
            </w:r>
          </w:p>
          <w:p w:rsidR="004170F6" w:rsidRDefault="004170F6">
            <w:pPr>
              <w:spacing w:line="240" w:lineRule="auto"/>
              <w:rPr>
                <w:rFonts w:ascii="Times New Roman" w:hAnsi="Times New Roman" w:cs="Times New Roman"/>
              </w:rPr>
            </w:pPr>
            <w:r>
              <w:rPr>
                <w:rFonts w:ascii="Times New Roman" w:hAnsi="Times New Roman" w:cs="Times New Roman"/>
              </w:rPr>
              <w:t>Łączność: Bluetooth 4.1, Wi-Fi 802.11 a/b/g/n/</w:t>
            </w:r>
            <w:proofErr w:type="spellStart"/>
            <w:r>
              <w:rPr>
                <w:rFonts w:ascii="Times New Roman" w:hAnsi="Times New Roman" w:cs="Times New Roman"/>
              </w:rPr>
              <w:t>ac</w:t>
            </w:r>
            <w:proofErr w:type="spellEnd"/>
            <w:r>
              <w:rPr>
                <w:rFonts w:ascii="Times New Roman" w:hAnsi="Times New Roman" w:cs="Times New Roman"/>
              </w:rPr>
              <w:t xml:space="preserve"> </w:t>
            </w:r>
          </w:p>
          <w:p w:rsidR="004170F6" w:rsidRDefault="004170F6">
            <w:pPr>
              <w:spacing w:line="240" w:lineRule="auto"/>
              <w:rPr>
                <w:rFonts w:ascii="Times New Roman" w:hAnsi="Times New Roman" w:cs="Times New Roman"/>
              </w:rPr>
            </w:pPr>
            <w:r>
              <w:rPr>
                <w:rFonts w:ascii="Times New Roman" w:hAnsi="Times New Roman" w:cs="Times New Roman"/>
              </w:rPr>
              <w:t>Złącza: USB C, HDMI, wyjście audio</w:t>
            </w:r>
          </w:p>
          <w:p w:rsidR="004170F6" w:rsidRDefault="004170F6">
            <w:pPr>
              <w:spacing w:line="240" w:lineRule="auto"/>
              <w:rPr>
                <w:rFonts w:ascii="Times New Roman" w:hAnsi="Times New Roman" w:cs="Times New Roman"/>
              </w:rPr>
            </w:pPr>
            <w:r>
              <w:rPr>
                <w:rFonts w:ascii="Times New Roman" w:hAnsi="Times New Roman" w:cs="Times New Roman"/>
              </w:rPr>
              <w:t>Wbudowany ekran</w:t>
            </w:r>
          </w:p>
          <w:p w:rsidR="004170F6" w:rsidRDefault="004170F6">
            <w:pPr>
              <w:spacing w:line="240" w:lineRule="auto"/>
              <w:rPr>
                <w:rFonts w:ascii="Times New Roman" w:hAnsi="Times New Roman" w:cs="Times New Roman"/>
              </w:rPr>
            </w:pPr>
            <w:r>
              <w:rPr>
                <w:rFonts w:ascii="Times New Roman" w:hAnsi="Times New Roman" w:cs="Times New Roman"/>
              </w:rPr>
              <w:t xml:space="preserve">Właściwości ekranu: dotykowy o przekątnej 6.2” </w:t>
            </w:r>
          </w:p>
          <w:p w:rsidR="004170F6" w:rsidRDefault="004170F6">
            <w:pPr>
              <w:spacing w:line="240" w:lineRule="auto"/>
              <w:rPr>
                <w:rFonts w:ascii="Times New Roman" w:hAnsi="Times New Roman" w:cs="Times New Roman"/>
              </w:rPr>
            </w:pPr>
            <w:r>
              <w:rPr>
                <w:rFonts w:ascii="Times New Roman" w:hAnsi="Times New Roman" w:cs="Times New Roman"/>
              </w:rPr>
              <w:t>Pojemność akumulatora [</w:t>
            </w:r>
            <w:proofErr w:type="spellStart"/>
            <w:r>
              <w:rPr>
                <w:rFonts w:ascii="Times New Roman" w:hAnsi="Times New Roman" w:cs="Times New Roman"/>
              </w:rPr>
              <w:t>mAh</w:t>
            </w:r>
            <w:proofErr w:type="spellEnd"/>
            <w:r>
              <w:rPr>
                <w:rFonts w:ascii="Times New Roman" w:hAnsi="Times New Roman" w:cs="Times New Roman"/>
              </w:rPr>
              <w:t>]:</w:t>
            </w:r>
            <w:r>
              <w:rPr>
                <w:rFonts w:ascii="Times New Roman" w:hAnsi="Times New Roman" w:cs="Times New Roman"/>
              </w:rPr>
              <w:tab/>
              <w:t xml:space="preserve"> 4310 </w:t>
            </w:r>
          </w:p>
          <w:p w:rsidR="004170F6" w:rsidRDefault="004170F6">
            <w:pPr>
              <w:spacing w:line="240" w:lineRule="auto"/>
              <w:rPr>
                <w:rFonts w:ascii="Times New Roman" w:hAnsi="Times New Roman" w:cs="Times New Roman"/>
              </w:rPr>
            </w:pPr>
            <w:r>
              <w:rPr>
                <w:rFonts w:ascii="Times New Roman" w:hAnsi="Times New Roman" w:cs="Times New Roman"/>
              </w:rPr>
              <w:t>Informacje dodatkowe:</w:t>
            </w:r>
            <w:r>
              <w:rPr>
                <w:rFonts w:ascii="Times New Roman" w:hAnsi="Times New Roman" w:cs="Times New Roman"/>
              </w:rPr>
              <w:tab/>
              <w:t xml:space="preserve">Akcelerometr, Czujnik światła, Żyroskop </w:t>
            </w:r>
          </w:p>
          <w:p w:rsidR="004170F6" w:rsidRDefault="004170F6">
            <w:pPr>
              <w:spacing w:line="240" w:lineRule="auto"/>
              <w:rPr>
                <w:rFonts w:ascii="Times New Roman" w:hAnsi="Times New Roman" w:cs="Times New Roman"/>
              </w:rPr>
            </w:pPr>
            <w:r>
              <w:rPr>
                <w:rFonts w:ascii="Times New Roman" w:hAnsi="Times New Roman" w:cs="Times New Roman"/>
              </w:rPr>
              <w:t xml:space="preserve">Wyposażenie: Kabel HDMI, zasilacz </w:t>
            </w:r>
          </w:p>
          <w:p w:rsidR="004170F6" w:rsidRDefault="004170F6">
            <w:pPr>
              <w:spacing w:line="240" w:lineRule="auto"/>
              <w:rPr>
                <w:rFonts w:ascii="Times New Roman" w:hAnsi="Times New Roman" w:cs="Times New Roman"/>
              </w:rPr>
            </w:pPr>
            <w:r>
              <w:rPr>
                <w:rFonts w:ascii="Times New Roman" w:hAnsi="Times New Roman" w:cs="Times New Roman"/>
              </w:rPr>
              <w:t>Kontroler w zestawie</w:t>
            </w:r>
          </w:p>
          <w:p w:rsidR="004170F6" w:rsidRDefault="004170F6">
            <w:pPr>
              <w:spacing w:line="240" w:lineRule="auto"/>
              <w:rPr>
                <w:rFonts w:ascii="Times New Roman" w:hAnsi="Times New Roman" w:cs="Times New Roman"/>
              </w:rPr>
            </w:pPr>
            <w:r>
              <w:rPr>
                <w:rFonts w:ascii="Times New Roman" w:hAnsi="Times New Roman" w:cs="Times New Roman"/>
              </w:rPr>
              <w:t>Właściwości kontrolera: możliwość używania pojedynczo lub rozdzielenia na dwóch graczy, możliwość mocowania na pasku na rękę</w:t>
            </w:r>
          </w:p>
          <w:p w:rsidR="004170F6" w:rsidRDefault="004170F6">
            <w:pPr>
              <w:spacing w:line="240" w:lineRule="auto"/>
              <w:rPr>
                <w:rFonts w:ascii="Times New Roman" w:hAnsi="Times New Roman" w:cs="Times New Roman"/>
              </w:rPr>
            </w:pPr>
          </w:p>
          <w:p w:rsidR="004170F6" w:rsidRDefault="004170F6">
            <w:pPr>
              <w:spacing w:line="240" w:lineRule="auto"/>
              <w:rPr>
                <w:rFonts w:ascii="Times New Roman" w:hAnsi="Times New Roman" w:cs="Times New Roman"/>
              </w:rPr>
            </w:pPr>
          </w:p>
          <w:p w:rsidR="004170F6" w:rsidRDefault="004170F6">
            <w:pPr>
              <w:spacing w:line="240" w:lineRule="auto"/>
              <w:rPr>
                <w:rFonts w:ascii="Times New Roman" w:hAnsi="Times New Roman" w:cs="Times New Roman"/>
                <w:b/>
                <w:bCs/>
              </w:rPr>
            </w:pPr>
            <w:r>
              <w:rPr>
                <w:rFonts w:ascii="Times New Roman" w:hAnsi="Times New Roman" w:cs="Times New Roman"/>
                <w:b/>
                <w:bCs/>
              </w:rPr>
              <w:t>Bezprzewodowy kontroler do gier</w:t>
            </w:r>
          </w:p>
          <w:p w:rsidR="004170F6" w:rsidRDefault="004170F6" w:rsidP="004170F6">
            <w:pPr>
              <w:pStyle w:val="Akapitzlist"/>
              <w:numPr>
                <w:ilvl w:val="0"/>
                <w:numId w:val="1"/>
              </w:numPr>
              <w:spacing w:line="240" w:lineRule="auto"/>
              <w:rPr>
                <w:rFonts w:ascii="Times New Roman" w:hAnsi="Times New Roman" w:cs="Times New Roman"/>
              </w:rPr>
            </w:pPr>
            <w:r>
              <w:rPr>
                <w:rFonts w:ascii="Times New Roman" w:hAnsi="Times New Roman" w:cs="Times New Roman"/>
              </w:rPr>
              <w:t>przyspieszeniomierz</w:t>
            </w:r>
          </w:p>
          <w:p w:rsidR="004170F6" w:rsidRDefault="004170F6" w:rsidP="004170F6">
            <w:pPr>
              <w:pStyle w:val="Akapitzlist"/>
              <w:numPr>
                <w:ilvl w:val="0"/>
                <w:numId w:val="1"/>
              </w:numPr>
              <w:spacing w:line="240" w:lineRule="auto"/>
              <w:rPr>
                <w:rFonts w:ascii="Times New Roman" w:hAnsi="Times New Roman" w:cs="Times New Roman"/>
              </w:rPr>
            </w:pPr>
            <w:r>
              <w:rPr>
                <w:rFonts w:ascii="Times New Roman" w:hAnsi="Times New Roman" w:cs="Times New Roman"/>
              </w:rPr>
              <w:t>żyroskopowy czujnik ruchu</w:t>
            </w:r>
          </w:p>
          <w:p w:rsidR="004170F6" w:rsidRDefault="004170F6" w:rsidP="004170F6">
            <w:pPr>
              <w:pStyle w:val="Akapitzlist"/>
              <w:numPr>
                <w:ilvl w:val="0"/>
                <w:numId w:val="1"/>
              </w:numPr>
              <w:spacing w:line="240" w:lineRule="auto"/>
              <w:rPr>
                <w:rFonts w:ascii="Times New Roman" w:hAnsi="Times New Roman" w:cs="Times New Roman"/>
              </w:rPr>
            </w:pPr>
            <w:r>
              <w:rPr>
                <w:rFonts w:ascii="Times New Roman" w:hAnsi="Times New Roman" w:cs="Times New Roman"/>
              </w:rPr>
              <w:t>czytnik NFC</w:t>
            </w:r>
          </w:p>
          <w:p w:rsidR="004170F6" w:rsidRDefault="004170F6" w:rsidP="004170F6">
            <w:pPr>
              <w:pStyle w:val="Akapitzlist"/>
              <w:numPr>
                <w:ilvl w:val="0"/>
                <w:numId w:val="1"/>
              </w:numPr>
              <w:spacing w:line="240" w:lineRule="auto"/>
              <w:rPr>
                <w:rFonts w:ascii="Times New Roman" w:hAnsi="Times New Roman" w:cs="Times New Roman"/>
              </w:rPr>
            </w:pPr>
            <w:r>
              <w:rPr>
                <w:rFonts w:ascii="Times New Roman" w:hAnsi="Times New Roman" w:cs="Times New Roman"/>
              </w:rPr>
              <w:t>czujnik ruchu IR rozpoznający odległość, kształt oraz ruch przedmiotów</w:t>
            </w:r>
          </w:p>
          <w:p w:rsidR="004170F6" w:rsidRDefault="004170F6" w:rsidP="004170F6">
            <w:pPr>
              <w:pStyle w:val="Akapitzlist"/>
              <w:numPr>
                <w:ilvl w:val="0"/>
                <w:numId w:val="1"/>
              </w:numPr>
              <w:spacing w:line="240" w:lineRule="auto"/>
              <w:rPr>
                <w:rFonts w:ascii="Times New Roman" w:hAnsi="Times New Roman" w:cs="Times New Roman"/>
              </w:rPr>
            </w:pPr>
            <w:r>
              <w:rPr>
                <w:rFonts w:ascii="Times New Roman" w:hAnsi="Times New Roman" w:cs="Times New Roman"/>
              </w:rPr>
              <w:t>zaawansowane wibracje HD</w:t>
            </w:r>
          </w:p>
          <w:p w:rsidR="004170F6" w:rsidRDefault="004170F6" w:rsidP="004170F6">
            <w:pPr>
              <w:pStyle w:val="Akapitzlist"/>
              <w:numPr>
                <w:ilvl w:val="0"/>
                <w:numId w:val="1"/>
              </w:numPr>
              <w:spacing w:line="240" w:lineRule="auto"/>
              <w:rPr>
                <w:rFonts w:ascii="Times New Roman" w:hAnsi="Times New Roman" w:cs="Times New Roman"/>
              </w:rPr>
            </w:pPr>
            <w:r>
              <w:rPr>
                <w:rFonts w:ascii="Times New Roman" w:hAnsi="Times New Roman" w:cs="Times New Roman"/>
              </w:rPr>
              <w:t>możliwość wykonania zrzutu ekranu rozgrywki</w:t>
            </w:r>
          </w:p>
          <w:p w:rsidR="004170F6" w:rsidRDefault="004170F6" w:rsidP="004170F6">
            <w:pPr>
              <w:pStyle w:val="Akapitzlist"/>
              <w:numPr>
                <w:ilvl w:val="0"/>
                <w:numId w:val="1"/>
              </w:numPr>
              <w:spacing w:line="240" w:lineRule="auto"/>
              <w:rPr>
                <w:rFonts w:ascii="Times New Roman" w:hAnsi="Times New Roman" w:cs="Times New Roman"/>
              </w:rPr>
            </w:pPr>
            <w:r>
              <w:rPr>
                <w:rFonts w:ascii="Times New Roman" w:hAnsi="Times New Roman" w:cs="Times New Roman"/>
              </w:rPr>
              <w:t>możliwość używania pojedynczo lub rozdzielenia na dwóch graczy</w:t>
            </w:r>
          </w:p>
          <w:p w:rsidR="004170F6" w:rsidRDefault="004170F6" w:rsidP="004170F6">
            <w:pPr>
              <w:pStyle w:val="Akapitzlist"/>
              <w:numPr>
                <w:ilvl w:val="0"/>
                <w:numId w:val="1"/>
              </w:numPr>
              <w:spacing w:line="240" w:lineRule="auto"/>
              <w:rPr>
                <w:rFonts w:ascii="Times New Roman" w:hAnsi="Times New Roman" w:cs="Times New Roman"/>
              </w:rPr>
            </w:pPr>
            <w:r>
              <w:rPr>
                <w:rFonts w:ascii="Times New Roman" w:hAnsi="Times New Roman" w:cs="Times New Roman"/>
              </w:rPr>
              <w:t>możliwość mocowania na pasku na rękę</w:t>
            </w:r>
          </w:p>
          <w:p w:rsidR="004170F6" w:rsidRDefault="004170F6">
            <w:pPr>
              <w:spacing w:line="240" w:lineRule="auto"/>
              <w:rPr>
                <w:rFonts w:ascii="Times New Roman" w:hAnsi="Times New Roman" w:cs="Times New Roman"/>
              </w:rPr>
            </w:pPr>
          </w:p>
          <w:p w:rsidR="004170F6" w:rsidRDefault="004170F6">
            <w:pPr>
              <w:spacing w:line="240" w:lineRule="auto"/>
              <w:rPr>
                <w:rFonts w:ascii="Times New Roman" w:hAnsi="Times New Roman" w:cs="Times New Roman"/>
                <w:b/>
                <w:bCs/>
              </w:rPr>
            </w:pPr>
            <w:r>
              <w:rPr>
                <w:rFonts w:ascii="Times New Roman" w:hAnsi="Times New Roman" w:cs="Times New Roman"/>
                <w:b/>
                <w:bCs/>
              </w:rPr>
              <w:t>Pasek na rękę do mocowania kontrolera</w:t>
            </w:r>
          </w:p>
          <w:p w:rsidR="004170F6" w:rsidRDefault="004170F6" w:rsidP="004170F6">
            <w:pPr>
              <w:numPr>
                <w:ilvl w:val="0"/>
                <w:numId w:val="2"/>
              </w:numPr>
              <w:spacing w:line="240" w:lineRule="auto"/>
              <w:rPr>
                <w:rFonts w:ascii="Times New Roman" w:hAnsi="Times New Roman" w:cs="Times New Roman"/>
              </w:rPr>
            </w:pPr>
            <w:r>
              <w:rPr>
                <w:rFonts w:ascii="Times New Roman" w:hAnsi="Times New Roman" w:cs="Times New Roman"/>
              </w:rPr>
              <w:t>waga jednej opaski:  max. 25 g</w:t>
            </w:r>
          </w:p>
          <w:p w:rsidR="004170F6" w:rsidRDefault="004170F6" w:rsidP="004170F6">
            <w:pPr>
              <w:numPr>
                <w:ilvl w:val="0"/>
                <w:numId w:val="2"/>
              </w:numPr>
              <w:spacing w:line="240" w:lineRule="auto"/>
              <w:rPr>
                <w:rFonts w:ascii="Times New Roman" w:hAnsi="Times New Roman" w:cs="Times New Roman"/>
              </w:rPr>
            </w:pPr>
            <w:r>
              <w:rPr>
                <w:rFonts w:ascii="Times New Roman" w:hAnsi="Times New Roman" w:cs="Times New Roman"/>
              </w:rPr>
              <w:t>długość paska: max 23 cm - płynnie regulowana</w:t>
            </w:r>
          </w:p>
          <w:p w:rsidR="004170F6" w:rsidRDefault="004170F6" w:rsidP="004170F6">
            <w:pPr>
              <w:numPr>
                <w:ilvl w:val="0"/>
                <w:numId w:val="2"/>
              </w:numPr>
              <w:spacing w:line="240" w:lineRule="auto"/>
              <w:rPr>
                <w:rFonts w:ascii="Times New Roman" w:hAnsi="Times New Roman" w:cs="Times New Roman"/>
              </w:rPr>
            </w:pPr>
            <w:r>
              <w:rPr>
                <w:rFonts w:ascii="Times New Roman" w:hAnsi="Times New Roman" w:cs="Times New Roman"/>
              </w:rPr>
              <w:t>materiał: ABS</w:t>
            </w:r>
          </w:p>
          <w:p w:rsidR="004170F6" w:rsidRDefault="004170F6">
            <w:pPr>
              <w:spacing w:line="240" w:lineRule="auto"/>
              <w:rPr>
                <w:rFonts w:ascii="Times New Roman" w:hAnsi="Times New Roman" w:cs="Times New Roman"/>
              </w:rPr>
            </w:pPr>
          </w:p>
          <w:p w:rsidR="004170F6" w:rsidRDefault="004170F6">
            <w:pPr>
              <w:spacing w:line="240" w:lineRule="auto"/>
              <w:rPr>
                <w:rFonts w:ascii="Times New Roman" w:hAnsi="Times New Roman" w:cs="Times New Roman"/>
              </w:rPr>
            </w:pPr>
          </w:p>
          <w:p w:rsidR="004170F6" w:rsidRDefault="004170F6">
            <w:pPr>
              <w:spacing w:before="100" w:beforeAutospacing="1" w:after="100" w:afterAutospacing="1"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Gra do konsoli:</w:t>
            </w:r>
          </w:p>
          <w:p w:rsidR="004170F6" w:rsidRDefault="004170F6">
            <w:p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Charakterystyka:</w:t>
            </w:r>
          </w:p>
          <w:p w:rsidR="004170F6" w:rsidRDefault="004170F6">
            <w:p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Gatunek: Sportowa</w:t>
            </w:r>
          </w:p>
          <w:p w:rsidR="004170F6" w:rsidRDefault="004170F6">
            <w:p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Nośnik: Kartridż</w:t>
            </w:r>
          </w:p>
          <w:p w:rsidR="004170F6" w:rsidRDefault="004170F6">
            <w:p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Przedział wiekowy (PEGI): 7+</w:t>
            </w:r>
          </w:p>
          <w:p w:rsidR="004170F6" w:rsidRDefault="004170F6">
            <w:p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Tryb gry: </w:t>
            </w:r>
            <w:proofErr w:type="spellStart"/>
            <w:r>
              <w:rPr>
                <w:rFonts w:ascii="Times New Roman" w:eastAsia="Times New Roman" w:hAnsi="Times New Roman" w:cs="Times New Roman"/>
                <w:lang w:eastAsia="pl-PL"/>
              </w:rPr>
              <w:t>multiplayer</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singleplayer</w:t>
            </w:r>
            <w:proofErr w:type="spellEnd"/>
          </w:p>
          <w:p w:rsidR="004170F6" w:rsidRDefault="004170F6">
            <w:p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Możliwość rozgrywek: tenis ziemny (1-4 graczy); kręgle (1-16 graczy); </w:t>
            </w:r>
            <w:proofErr w:type="spellStart"/>
            <w:r>
              <w:rPr>
                <w:rFonts w:ascii="Times New Roman" w:eastAsia="Times New Roman" w:hAnsi="Times New Roman" w:cs="Times New Roman"/>
                <w:lang w:eastAsia="pl-PL"/>
              </w:rPr>
              <w:t>Chambara</w:t>
            </w:r>
            <w:proofErr w:type="spellEnd"/>
            <w:r>
              <w:rPr>
                <w:rFonts w:ascii="Times New Roman" w:eastAsia="Times New Roman" w:hAnsi="Times New Roman" w:cs="Times New Roman"/>
                <w:lang w:eastAsia="pl-PL"/>
              </w:rPr>
              <w:t xml:space="preserve"> (1-4 graczy); siatkówka (1-4 graczy); badminton (1-2 graczy); piłka nożna (1-8 graczy); możliwość rozgrywek on-line; możliwość dostosowywania awatara do własnych potrzeb za pomocą przedmiotów zebranych podczas rozgrywki sieciowej</w:t>
            </w:r>
          </w:p>
          <w:p w:rsidR="004170F6" w:rsidRDefault="004170F6">
            <w:pPr>
              <w:spacing w:line="240" w:lineRule="auto"/>
              <w:rPr>
                <w:rFonts w:ascii="Times New Roman" w:hAnsi="Times New Roman" w:cs="Times New Roman"/>
              </w:rPr>
            </w:pPr>
          </w:p>
          <w:p w:rsidR="004170F6" w:rsidRDefault="004170F6">
            <w:pPr>
              <w:spacing w:line="240" w:lineRule="auto"/>
              <w:rPr>
                <w:rFonts w:ascii="Times New Roman" w:hAnsi="Times New Roman" w:cs="Times New Roman"/>
              </w:rPr>
            </w:pPr>
            <w:r>
              <w:rPr>
                <w:rFonts w:ascii="Times New Roman" w:hAnsi="Times New Roman" w:cs="Times New Roman"/>
              </w:rPr>
              <w:tab/>
            </w:r>
          </w:p>
          <w:p w:rsidR="004170F6" w:rsidRDefault="004170F6">
            <w:pPr>
              <w:spacing w:line="240" w:lineRule="auto"/>
              <w:rPr>
                <w:rFonts w:ascii="Times New Roman" w:hAnsi="Times New Roman" w:cs="Times New Roman"/>
              </w:rPr>
            </w:pPr>
            <w:r>
              <w:rPr>
                <w:rFonts w:ascii="Times New Roman" w:hAnsi="Times New Roman" w:cs="Times New Roman"/>
              </w:rPr>
              <w:t xml:space="preserve">Ekran: przekątna 65″, 163.9cm; matryca VA, powłoka szklana AG (grubość szkła 4mm, twardość szkła 7H); rozdzielczość fizyczna  3840 x 2160 (8.3 </w:t>
            </w:r>
            <w:proofErr w:type="spellStart"/>
            <w:r>
              <w:rPr>
                <w:rFonts w:ascii="Times New Roman" w:hAnsi="Times New Roman" w:cs="Times New Roman"/>
              </w:rPr>
              <w:t>megapixel</w:t>
            </w:r>
            <w:proofErr w:type="spellEnd"/>
            <w:r>
              <w:rPr>
                <w:rFonts w:ascii="Times New Roman" w:hAnsi="Times New Roman" w:cs="Times New Roman"/>
              </w:rPr>
              <w:t xml:space="preserve"> 4K UHD); format obrazu: 16:9; jasność 400 cd/m²; przepuszczalność światła 88%; kontrast statyczny 5000:1 (dynamiczny 15000:1), czas reakcji (GTG): 6.5ms, kąty widzenia: poziomo/pionowo: 178°/178°, prawo/lewo: 89°/89°, góra/dół: 89°/89°; Kolory 1.07B 10bit; synchronizacja pozioma 30–80kHz; powierzchnia robocza szer. x wys. 1429 x 804mm, 56.3 x 31.7″; plamka </w:t>
            </w:r>
            <w:r>
              <w:rPr>
                <w:rFonts w:ascii="Times New Roman" w:hAnsi="Times New Roman" w:cs="Times New Roman"/>
              </w:rPr>
              <w:tab/>
              <w:t xml:space="preserve">0.372mm </w:t>
            </w:r>
          </w:p>
          <w:p w:rsidR="004170F6" w:rsidRDefault="004170F6">
            <w:pPr>
              <w:spacing w:line="240" w:lineRule="auto"/>
              <w:rPr>
                <w:rFonts w:ascii="Times New Roman" w:hAnsi="Times New Roman" w:cs="Times New Roman"/>
              </w:rPr>
            </w:pPr>
          </w:p>
          <w:p w:rsidR="004170F6" w:rsidRDefault="004170F6">
            <w:pPr>
              <w:spacing w:line="240" w:lineRule="auto"/>
              <w:rPr>
                <w:rFonts w:ascii="Times New Roman" w:hAnsi="Times New Roman" w:cs="Times New Roman"/>
              </w:rPr>
            </w:pPr>
            <w:r>
              <w:rPr>
                <w:rFonts w:ascii="Times New Roman" w:hAnsi="Times New Roman" w:cs="Times New Roman"/>
              </w:rPr>
              <w:t xml:space="preserve">Dotyk: technologia dotykowa </w:t>
            </w:r>
            <w:proofErr w:type="spellStart"/>
            <w:r>
              <w:rPr>
                <w:rFonts w:ascii="Times New Roman" w:hAnsi="Times New Roman" w:cs="Times New Roman"/>
              </w:rPr>
              <w:t>infrared</w:t>
            </w:r>
            <w:proofErr w:type="spellEnd"/>
            <w:r>
              <w:rPr>
                <w:rFonts w:ascii="Times New Roman" w:hAnsi="Times New Roman" w:cs="Times New Roman"/>
              </w:rPr>
              <w:t>; punkty dotykowe 20 (HID, wymaga kompatybilnego systemu operacyjnego); dokładność dotyku +- 2mm; dotyk wykonywany stylusem, palcem, w rękawiczce</w:t>
            </w:r>
          </w:p>
          <w:p w:rsidR="004170F6" w:rsidRDefault="004170F6">
            <w:pPr>
              <w:spacing w:line="240" w:lineRule="auto"/>
              <w:rPr>
                <w:rFonts w:ascii="Times New Roman" w:hAnsi="Times New Roman" w:cs="Times New Roman"/>
              </w:rPr>
            </w:pPr>
          </w:p>
          <w:p w:rsidR="004170F6" w:rsidRDefault="004170F6">
            <w:pPr>
              <w:spacing w:line="240" w:lineRule="auto"/>
              <w:rPr>
                <w:rFonts w:ascii="Times New Roman" w:hAnsi="Times New Roman" w:cs="Times New Roman"/>
              </w:rPr>
            </w:pPr>
            <w:r>
              <w:rPr>
                <w:rFonts w:ascii="Times New Roman" w:hAnsi="Times New Roman" w:cs="Times New Roman"/>
              </w:rPr>
              <w:t xml:space="preserve">Dźwięk: analogowe wejścia sygnału: VGA x1 (max. 1920×1080 @60Hz); cyfrowe wejścia sygnału: HDMI x2 (v.2.0, max. 3840×2160 @60Hz, RGB444/420); wejścia audio: Mini </w:t>
            </w:r>
            <w:proofErr w:type="spellStart"/>
            <w:r>
              <w:rPr>
                <w:rFonts w:ascii="Times New Roman" w:hAnsi="Times New Roman" w:cs="Times New Roman"/>
              </w:rPr>
              <w:t>jack</w:t>
            </w:r>
            <w:proofErr w:type="spellEnd"/>
            <w:r>
              <w:rPr>
                <w:rFonts w:ascii="Times New Roman" w:hAnsi="Times New Roman" w:cs="Times New Roman"/>
              </w:rPr>
              <w:t xml:space="preserve"> x1; sterowanie: RS-232c x1 (DSUB 9pin); wyjścia audio: Mini </w:t>
            </w:r>
            <w:proofErr w:type="spellStart"/>
            <w:r>
              <w:rPr>
                <w:rFonts w:ascii="Times New Roman" w:hAnsi="Times New Roman" w:cs="Times New Roman"/>
              </w:rPr>
              <w:t>jack</w:t>
            </w:r>
            <w:proofErr w:type="spellEnd"/>
            <w:r>
              <w:rPr>
                <w:rFonts w:ascii="Times New Roman" w:hAnsi="Times New Roman" w:cs="Times New Roman"/>
              </w:rPr>
              <w:t xml:space="preserve"> x1; wbudowane głośniki: 2x10W, HDCP v.2.2.</w:t>
            </w:r>
          </w:p>
          <w:p w:rsidR="004170F6" w:rsidRDefault="004170F6">
            <w:pPr>
              <w:spacing w:line="240" w:lineRule="auto"/>
              <w:rPr>
                <w:rFonts w:ascii="Times New Roman" w:hAnsi="Times New Roman" w:cs="Times New Roman"/>
              </w:rPr>
            </w:pPr>
            <w:r>
              <w:rPr>
                <w:rFonts w:ascii="Times New Roman" w:hAnsi="Times New Roman" w:cs="Times New Roman"/>
              </w:rPr>
              <w:t>Port USB: x4 (odtwarzanie multimediów / urządzenia peryferyjne / pamięć)</w:t>
            </w:r>
          </w:p>
          <w:p w:rsidR="004170F6" w:rsidRDefault="004170F6">
            <w:pPr>
              <w:spacing w:line="240" w:lineRule="auto"/>
              <w:rPr>
                <w:rFonts w:ascii="Times New Roman" w:hAnsi="Times New Roman" w:cs="Times New Roman"/>
              </w:rPr>
            </w:pPr>
          </w:p>
          <w:p w:rsidR="004170F6" w:rsidRDefault="004170F6">
            <w:pPr>
              <w:spacing w:line="240" w:lineRule="auto"/>
              <w:rPr>
                <w:rFonts w:ascii="Times New Roman" w:hAnsi="Times New Roman" w:cs="Times New Roman"/>
              </w:rPr>
            </w:pPr>
            <w:r>
              <w:rPr>
                <w:rFonts w:ascii="Times New Roman" w:hAnsi="Times New Roman" w:cs="Times New Roman"/>
              </w:rPr>
              <w:t xml:space="preserve">Łączność: </w:t>
            </w:r>
            <w:proofErr w:type="spellStart"/>
            <w:r>
              <w:rPr>
                <w:rFonts w:ascii="Times New Roman" w:hAnsi="Times New Roman" w:cs="Times New Roman"/>
              </w:rPr>
              <w:t>WiFi</w:t>
            </w:r>
            <w:proofErr w:type="spellEnd"/>
            <w:r>
              <w:rPr>
                <w:rFonts w:ascii="Times New Roman" w:hAnsi="Times New Roman" w:cs="Times New Roman"/>
              </w:rPr>
              <w:t xml:space="preserve"> dwuzakresowy moduł </w:t>
            </w:r>
            <w:proofErr w:type="spellStart"/>
            <w:r>
              <w:rPr>
                <w:rFonts w:ascii="Times New Roman" w:hAnsi="Times New Roman" w:cs="Times New Roman"/>
              </w:rPr>
              <w:t>WiFi</w:t>
            </w:r>
            <w:proofErr w:type="spellEnd"/>
            <w:r>
              <w:rPr>
                <w:rFonts w:ascii="Times New Roman" w:hAnsi="Times New Roman" w:cs="Times New Roman"/>
              </w:rPr>
              <w:t xml:space="preserve"> (2,4 GHz / 5 GHz), standard IIEEE 802.11 a/b/g/n/</w:t>
            </w:r>
            <w:proofErr w:type="spellStart"/>
            <w:r>
              <w:rPr>
                <w:rFonts w:ascii="Times New Roman" w:hAnsi="Times New Roman" w:cs="Times New Roman"/>
              </w:rPr>
              <w:t>ac</w:t>
            </w:r>
            <w:proofErr w:type="spellEnd"/>
            <w:r>
              <w:rPr>
                <w:rFonts w:ascii="Times New Roman" w:hAnsi="Times New Roman" w:cs="Times New Roman"/>
              </w:rPr>
              <w:t xml:space="preserve">; Bluetooth: 2.1/3.0/4.2/5.0; port RJ45 (LAN) x1 (in/out, Automatyczne przełączanie na PC i Androida) </w:t>
            </w:r>
          </w:p>
          <w:p w:rsidR="004170F6" w:rsidRDefault="004170F6">
            <w:pPr>
              <w:spacing w:line="240" w:lineRule="auto"/>
              <w:rPr>
                <w:rFonts w:ascii="Times New Roman" w:hAnsi="Times New Roman" w:cs="Times New Roman"/>
              </w:rPr>
            </w:pPr>
          </w:p>
          <w:p w:rsidR="004170F6" w:rsidRDefault="004170F6">
            <w:pPr>
              <w:spacing w:line="240" w:lineRule="auto"/>
              <w:rPr>
                <w:rFonts w:ascii="Times New Roman" w:hAnsi="Times New Roman" w:cs="Times New Roman"/>
              </w:rPr>
            </w:pPr>
            <w:r>
              <w:rPr>
                <w:rFonts w:ascii="Times New Roman" w:hAnsi="Times New Roman" w:cs="Times New Roman"/>
              </w:rPr>
              <w:t xml:space="preserve">Oprogramowanie: (Android 9.0 OS) aplikacja </w:t>
            </w:r>
            <w:proofErr w:type="spellStart"/>
            <w:r>
              <w:rPr>
                <w:rFonts w:ascii="Times New Roman" w:hAnsi="Times New Roman" w:cs="Times New Roman"/>
              </w:rPr>
              <w:t>Note</w:t>
            </w:r>
            <w:proofErr w:type="spellEnd"/>
            <w:r>
              <w:rPr>
                <w:rFonts w:ascii="Times New Roman" w:hAnsi="Times New Roman" w:cs="Times New Roman"/>
              </w:rPr>
              <w:t xml:space="preserve">, przeglądarka internetowa, menedżer plików, WPS Office i </w:t>
            </w:r>
            <w:proofErr w:type="spellStart"/>
            <w:r>
              <w:rPr>
                <w:rFonts w:ascii="Times New Roman" w:hAnsi="Times New Roman" w:cs="Times New Roman"/>
              </w:rPr>
              <w:t>ScreenSharePro</w:t>
            </w:r>
            <w:proofErr w:type="spellEnd"/>
            <w:r>
              <w:rPr>
                <w:rFonts w:ascii="Times New Roman" w:hAnsi="Times New Roman" w:cs="Times New Roman"/>
              </w:rPr>
              <w:t xml:space="preserve">; </w:t>
            </w:r>
            <w:proofErr w:type="spellStart"/>
            <w:r>
              <w:rPr>
                <w:rFonts w:ascii="Times New Roman" w:hAnsi="Times New Roman" w:cs="Times New Roman"/>
              </w:rPr>
              <w:t>Plug&amp;Play</w:t>
            </w:r>
            <w:proofErr w:type="spellEnd"/>
            <w:r>
              <w:rPr>
                <w:rFonts w:ascii="Times New Roman" w:hAnsi="Times New Roman" w:cs="Times New Roman"/>
              </w:rPr>
              <w:t xml:space="preserve"> DDC2B; tryb kiosk; odtwarzanie multimediów; możliwość u</w:t>
            </w:r>
            <w:r>
              <w:rPr>
                <w:rFonts w:ascii="Times New Roman" w:eastAsia="Times New Roman" w:hAnsi="Times New Roman" w:cs="Times New Roman"/>
                <w:lang w:eastAsia="pl-PL"/>
              </w:rPr>
              <w:t xml:space="preserve">dostępniania, </w:t>
            </w:r>
            <w:proofErr w:type="spellStart"/>
            <w:r>
              <w:rPr>
                <w:rFonts w:ascii="Times New Roman" w:eastAsia="Times New Roman" w:hAnsi="Times New Roman" w:cs="Times New Roman"/>
                <w:lang w:eastAsia="pl-PL"/>
              </w:rPr>
              <w:t>streamowania</w:t>
            </w:r>
            <w:proofErr w:type="spellEnd"/>
            <w:r>
              <w:rPr>
                <w:rFonts w:ascii="Times New Roman" w:eastAsia="Times New Roman" w:hAnsi="Times New Roman" w:cs="Times New Roman"/>
                <w:lang w:eastAsia="pl-PL"/>
              </w:rPr>
              <w:t xml:space="preserve"> i edytowania treści z poziomu różnych urządzeń bezpośrednio na ekranie</w:t>
            </w:r>
            <w:r>
              <w:rPr>
                <w:rFonts w:ascii="Times New Roman" w:hAnsi="Times New Roman" w:cs="Times New Roman"/>
              </w:rPr>
              <w:t xml:space="preserve">; możliwość zapisywania bezpośrednio na urządzeniu USB, w pamięci wewnętrznej lub na wybranym dysku </w:t>
            </w:r>
            <w:r>
              <w:rPr>
                <w:rFonts w:ascii="Times New Roman" w:hAnsi="Times New Roman" w:cs="Times New Roman"/>
              </w:rPr>
              <w:lastRenderedPageBreak/>
              <w:t>w chmurze; blokada przycisków OSD, języki menu OSD PL; parametry regulowane: ustawienia ogólne (wejście, głośność, podświetlenie), ustawienia audio (głośność, basy, wysokie, balans, tryb dźwięku, wyciszenie), ustawienia ekranu (format obrazu, przesunięcie pikseli, ochrona oczu, automatyczne podświetlenie, ECO, ECR), ustawienia wyświetlania (jasność, kontrast, odcień, ostrość, tryb wyświetlania, temp. kolorów), dostosowywanie ustawienia (pozycja pozioma, pozycja pionowa, taktowanie, faza, auto), ustawienia (sieć bezprzewodowa i sieci, osobiste, wejście i wyjście, aplikacja, system).</w:t>
            </w:r>
          </w:p>
          <w:p w:rsidR="004170F6" w:rsidRDefault="004170F6">
            <w:pPr>
              <w:spacing w:line="240" w:lineRule="auto"/>
              <w:rPr>
                <w:rFonts w:ascii="Times New Roman" w:hAnsi="Times New Roman" w:cs="Times New Roman"/>
              </w:rPr>
            </w:pPr>
          </w:p>
          <w:p w:rsidR="004170F6" w:rsidRDefault="004170F6">
            <w:pPr>
              <w:spacing w:line="240" w:lineRule="auto"/>
              <w:rPr>
                <w:rFonts w:ascii="Times New Roman" w:hAnsi="Times New Roman" w:cs="Times New Roman"/>
              </w:rPr>
            </w:pPr>
            <w:r>
              <w:rPr>
                <w:rFonts w:ascii="Times New Roman" w:hAnsi="Times New Roman" w:cs="Times New Roman"/>
              </w:rPr>
              <w:t xml:space="preserve">Pozostałe właściwości: procesor Quad </w:t>
            </w:r>
            <w:proofErr w:type="spellStart"/>
            <w:r>
              <w:rPr>
                <w:rFonts w:ascii="Times New Roman" w:hAnsi="Times New Roman" w:cs="Times New Roman"/>
              </w:rPr>
              <w:t>core</w:t>
            </w:r>
            <w:proofErr w:type="spellEnd"/>
            <w:r>
              <w:rPr>
                <w:rFonts w:ascii="Times New Roman" w:hAnsi="Times New Roman" w:cs="Times New Roman"/>
              </w:rPr>
              <w:t xml:space="preserve">, 2GB RAM, wewnętrzna pamięć 16GB, slot OPS, czujnik oświetlenia; obudowa metalowa; orientacja pozioma; konstrukcja bez wentylatora; standard VESA 600 x 400mm; warunki pracy – temperatura  0°C – 40°C; MTBF </w:t>
            </w:r>
            <w:r>
              <w:rPr>
                <w:rFonts w:ascii="Times New Roman" w:hAnsi="Times New Roman" w:cs="Times New Roman"/>
              </w:rPr>
              <w:tab/>
              <w:t xml:space="preserve">50.000 godzin (wyłączając podświetlenie); zasilacz wewnętrzny (zasilanie AC 180–240V, 50/60Hz, zużycie energii 175W typowo, 0.5W stand by, 0.3W off </w:t>
            </w:r>
            <w:proofErr w:type="spellStart"/>
            <w:r>
              <w:rPr>
                <w:rFonts w:ascii="Times New Roman" w:hAnsi="Times New Roman" w:cs="Times New Roman"/>
              </w:rPr>
              <w:t>mode</w:t>
            </w:r>
            <w:proofErr w:type="spellEnd"/>
            <w:r>
              <w:rPr>
                <w:rFonts w:ascii="Times New Roman" w:hAnsi="Times New Roman" w:cs="Times New Roman"/>
              </w:rPr>
              <w:t>).</w:t>
            </w:r>
          </w:p>
          <w:p w:rsidR="004170F6" w:rsidRDefault="004170F6">
            <w:pPr>
              <w:spacing w:line="240" w:lineRule="auto"/>
              <w:rPr>
                <w:rFonts w:ascii="Times New Roman" w:hAnsi="Times New Roman" w:cs="Times New Roman"/>
              </w:rPr>
            </w:pPr>
          </w:p>
          <w:p w:rsidR="004170F6" w:rsidRDefault="004170F6">
            <w:pPr>
              <w:spacing w:line="240" w:lineRule="auto"/>
              <w:rPr>
                <w:rFonts w:ascii="Times New Roman" w:hAnsi="Times New Roman" w:cs="Times New Roman"/>
              </w:rPr>
            </w:pPr>
            <w:r>
              <w:rPr>
                <w:rFonts w:ascii="Times New Roman" w:hAnsi="Times New Roman" w:cs="Times New Roman"/>
              </w:rPr>
              <w:t>Wyposażenie: kabel zasilający, kabel USB, kabel HDMI, pióra dotykowe (2 szt.; rysik z dwiema końcówkami), wspornik montażowy do NUC, wspornik montażowy do kamery internetowej, pilot zdalnego sterowania.</w:t>
            </w:r>
          </w:p>
          <w:p w:rsidR="004170F6" w:rsidRDefault="004170F6">
            <w:pPr>
              <w:spacing w:line="240" w:lineRule="auto"/>
              <w:rPr>
                <w:rFonts w:ascii="Times New Roman" w:hAnsi="Times New Roman" w:cs="Times New Roman"/>
              </w:rPr>
            </w:pPr>
          </w:p>
          <w:p w:rsidR="004170F6" w:rsidRDefault="004170F6">
            <w:pPr>
              <w:spacing w:line="240" w:lineRule="auto"/>
              <w:rPr>
                <w:rFonts w:ascii="Times New Roman" w:hAnsi="Times New Roman" w:cs="Times New Roman"/>
              </w:rPr>
            </w:pPr>
          </w:p>
          <w:p w:rsidR="004170F6" w:rsidRDefault="004170F6">
            <w:pPr>
              <w:spacing w:line="240" w:lineRule="auto"/>
              <w:rPr>
                <w:rFonts w:ascii="Times New Roman" w:hAnsi="Times New Roman" w:cs="Times New Roman"/>
              </w:rPr>
            </w:pPr>
          </w:p>
          <w:p w:rsidR="004170F6" w:rsidRDefault="004170F6">
            <w:pPr>
              <w:spacing w:before="100" w:beforeAutospacing="1" w:after="100" w:afterAutospacing="1"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max. </w:t>
            </w:r>
            <w:r>
              <w:rPr>
                <w:rFonts w:ascii="Times New Roman" w:eastAsia="Times New Roman" w:hAnsi="Times New Roman" w:cs="Times New Roman"/>
                <w:lang w:eastAsia="pl-PL"/>
              </w:rPr>
              <w:t>U</w:t>
            </w:r>
            <w:r>
              <w:rPr>
                <w:rFonts w:ascii="Times New Roman" w:eastAsia="Times New Roman" w:hAnsi="Times New Roman" w:cs="Times New Roman"/>
                <w:lang w:eastAsia="pl-PL"/>
              </w:rPr>
              <w:t>dźwig </w:t>
            </w:r>
            <w:r>
              <w:rPr>
                <w:rFonts w:ascii="Times New Roman" w:eastAsia="Times New Roman" w:hAnsi="Times New Roman" w:cs="Times New Roman"/>
                <w:b/>
                <w:bCs/>
                <w:lang w:eastAsia="pl-PL"/>
              </w:rPr>
              <w:t>45,5 kg</w:t>
            </w:r>
            <w:r>
              <w:rPr>
                <w:rFonts w:ascii="Times New Roman" w:eastAsia="Times New Roman" w:hAnsi="Times New Roman" w:cs="Times New Roman"/>
                <w:lang w:eastAsia="pl-PL"/>
              </w:rPr>
              <w:br/>
              <w:t>- do telewizorów </w:t>
            </w:r>
            <w:r>
              <w:rPr>
                <w:rFonts w:ascii="Times New Roman" w:eastAsia="Times New Roman" w:hAnsi="Times New Roman" w:cs="Times New Roman"/>
                <w:b/>
                <w:bCs/>
                <w:lang w:eastAsia="pl-PL"/>
              </w:rPr>
              <w:t>32"- 70"</w:t>
            </w:r>
            <w:r>
              <w:rPr>
                <w:rFonts w:ascii="Times New Roman" w:eastAsia="Times New Roman" w:hAnsi="Times New Roman" w:cs="Times New Roman"/>
                <w:lang w:eastAsia="pl-PL"/>
              </w:rPr>
              <w:br/>
              <w:t xml:space="preserve">- regulacja wysokości w zakresie min. </w:t>
            </w:r>
            <w:r>
              <w:rPr>
                <w:rFonts w:ascii="Times New Roman" w:eastAsia="Times New Roman" w:hAnsi="Times New Roman" w:cs="Times New Roman"/>
                <w:b/>
                <w:bCs/>
                <w:lang w:eastAsia="pl-PL"/>
              </w:rPr>
              <w:t>112 ~152 cm</w:t>
            </w:r>
            <w:r>
              <w:rPr>
                <w:rFonts w:ascii="Times New Roman" w:eastAsia="Times New Roman" w:hAnsi="Times New Roman" w:cs="Times New Roman"/>
                <w:lang w:eastAsia="pl-PL"/>
              </w:rPr>
              <w:br/>
              <w:t>- 4 x skrętne kółka 2-calowe z funkcją blokady</w:t>
            </w:r>
            <w:r>
              <w:rPr>
                <w:rFonts w:ascii="Times New Roman" w:eastAsia="Times New Roman" w:hAnsi="Times New Roman" w:cs="Times New Roman"/>
                <w:lang w:eastAsia="pl-PL"/>
              </w:rPr>
              <w:br/>
              <w:t>- wymiary półki min. AV: </w:t>
            </w:r>
            <w:r>
              <w:rPr>
                <w:rFonts w:ascii="Times New Roman" w:eastAsia="Times New Roman" w:hAnsi="Times New Roman" w:cs="Times New Roman"/>
                <w:b/>
                <w:bCs/>
                <w:lang w:eastAsia="pl-PL"/>
              </w:rPr>
              <w:t>456 x 320 mm</w:t>
            </w:r>
            <w:r>
              <w:rPr>
                <w:rFonts w:ascii="Times New Roman" w:eastAsia="Times New Roman" w:hAnsi="Times New Roman" w:cs="Times New Roman"/>
                <w:lang w:eastAsia="pl-PL"/>
              </w:rPr>
              <w:br/>
              <w:t>- regulowana półka na sprzęt AV - udźwig do </w:t>
            </w:r>
            <w:r>
              <w:rPr>
                <w:rFonts w:ascii="Times New Roman" w:eastAsia="Times New Roman" w:hAnsi="Times New Roman" w:cs="Times New Roman"/>
                <w:b/>
                <w:bCs/>
                <w:lang w:eastAsia="pl-PL"/>
              </w:rPr>
              <w:t>4,5 kg</w:t>
            </w:r>
            <w:r>
              <w:rPr>
                <w:rFonts w:ascii="Times New Roman" w:eastAsia="Times New Roman" w:hAnsi="Times New Roman" w:cs="Times New Roman"/>
                <w:lang w:eastAsia="pl-PL"/>
              </w:rPr>
              <w:br/>
              <w:t>- możliwość maskowania przewodów</w:t>
            </w:r>
            <w:r>
              <w:rPr>
                <w:rFonts w:ascii="Times New Roman" w:eastAsia="Times New Roman" w:hAnsi="Times New Roman" w:cs="Times New Roman"/>
                <w:lang w:eastAsia="pl-PL"/>
              </w:rPr>
              <w:br/>
              <w:t xml:space="preserve">- kompatybilny z VESA: </w:t>
            </w:r>
            <w:r>
              <w:rPr>
                <w:rFonts w:ascii="Times New Roman" w:eastAsia="Times New Roman" w:hAnsi="Times New Roman" w:cs="Times New Roman"/>
                <w:lang w:eastAsia="pl-PL"/>
              </w:rPr>
              <w:br/>
              <w:t>- VESA 100x100 ~ 600x400 mm (wszystkie kombinacje otworów w tym przedziale)</w:t>
            </w:r>
            <w:r>
              <w:rPr>
                <w:rFonts w:ascii="Times New Roman" w:eastAsia="Times New Roman" w:hAnsi="Times New Roman" w:cs="Times New Roman"/>
                <w:lang w:eastAsia="pl-PL"/>
              </w:rPr>
              <w:br/>
              <w:t>- Certyfikat UL</w:t>
            </w:r>
          </w:p>
          <w:p w:rsidR="004170F6" w:rsidRDefault="004170F6" w:rsidP="004170F6">
            <w:pPr>
              <w:tabs>
                <w:tab w:val="left" w:pos="1500"/>
              </w:tabs>
              <w:spacing w:before="100" w:beforeAutospacing="1" w:after="100" w:afterAutospacing="1" w:line="240" w:lineRule="auto"/>
              <w:rPr>
                <w:rFonts w:ascii="Times New Roman" w:eastAsia="Times New Roman" w:hAnsi="Times New Roman" w:cs="Times New Roman"/>
                <w:lang w:eastAsia="pl-PL"/>
              </w:rPr>
            </w:pPr>
            <w:bookmarkStart w:id="0" w:name="_GoBack"/>
            <w:bookmarkEnd w:id="0"/>
          </w:p>
          <w:p w:rsidR="004170F6" w:rsidRDefault="004170F6">
            <w:pPr>
              <w:spacing w:before="100" w:beforeAutospacing="1" w:after="100" w:afterAutospacing="1" w:line="240" w:lineRule="auto"/>
              <w:rPr>
                <w:rFonts w:ascii="Times New Roman" w:eastAsia="Times New Roman" w:hAnsi="Times New Roman" w:cs="Times New Roman"/>
                <w:lang w:eastAsia="pl-PL"/>
              </w:rPr>
            </w:pPr>
          </w:p>
          <w:p w:rsidR="004170F6" w:rsidRDefault="004170F6">
            <w:pPr>
              <w:spacing w:before="100" w:beforeAutospacing="1" w:after="100" w:afterAutospacing="1" w:line="240" w:lineRule="auto"/>
              <w:rPr>
                <w:rFonts w:ascii="Times New Roman" w:eastAsia="Times New Roman" w:hAnsi="Times New Roman" w:cs="Times New Roman"/>
                <w:lang w:eastAsia="pl-PL"/>
              </w:rPr>
            </w:pPr>
          </w:p>
        </w:tc>
      </w:tr>
    </w:tbl>
    <w:p w:rsidR="004170F6" w:rsidRDefault="004170F6" w:rsidP="004170F6">
      <w:pPr>
        <w:tabs>
          <w:tab w:val="left" w:pos="6525"/>
        </w:tabs>
      </w:pPr>
      <w:r>
        <w:lastRenderedPageBreak/>
        <w:br w:type="textWrapping" w:clear="all"/>
      </w:r>
    </w:p>
    <w:p w:rsidR="00C37C20" w:rsidRPr="00C37C20" w:rsidRDefault="00C37C20" w:rsidP="00C37C20">
      <w:pPr>
        <w:tabs>
          <w:tab w:val="left" w:pos="6525"/>
        </w:tabs>
      </w:pPr>
    </w:p>
    <w:sectPr w:rsidR="00C37C20" w:rsidRPr="00C37C20" w:rsidSect="00C37C20">
      <w:headerReference w:type="default" r:id="rId8"/>
      <w:footerReference w:type="default" r:id="rId9"/>
      <w:pgSz w:w="11906" w:h="16838"/>
      <w:pgMar w:top="1417" w:right="1417" w:bottom="1417" w:left="1417" w:header="426" w:footer="7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35D" w:rsidRDefault="0091035D" w:rsidP="00A01AE7">
      <w:pPr>
        <w:spacing w:after="0" w:line="240" w:lineRule="auto"/>
      </w:pPr>
      <w:r>
        <w:separator/>
      </w:r>
    </w:p>
  </w:endnote>
  <w:endnote w:type="continuationSeparator" w:id="0">
    <w:p w:rsidR="0091035D" w:rsidRDefault="0091035D" w:rsidP="00A0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AE7" w:rsidRDefault="002D5F1C" w:rsidP="002D5F1C">
    <w:pPr>
      <w:spacing w:before="120" w:after="0" w:line="240" w:lineRule="auto"/>
      <w:jc w:val="center"/>
      <w:rPr>
        <w:sz w:val="20"/>
        <w:szCs w:val="20"/>
      </w:rPr>
    </w:pPr>
    <w:r>
      <w:rPr>
        <w:noProof/>
        <w:sz w:val="20"/>
        <w:szCs w:val="20"/>
        <w:lang w:eastAsia="pl-PL"/>
      </w:rPr>
      <mc:AlternateContent>
        <mc:Choice Requires="wps">
          <w:drawing>
            <wp:anchor distT="0" distB="0" distL="114300" distR="114300" simplePos="0" relativeHeight="251659264" behindDoc="0" locked="0" layoutInCell="1" allowOverlap="1" wp14:anchorId="2B8CF455" wp14:editId="0132FA4E">
              <wp:simplePos x="0" y="0"/>
              <wp:positionH relativeFrom="margin">
                <wp:align>right</wp:align>
              </wp:positionH>
              <wp:positionV relativeFrom="paragraph">
                <wp:posOffset>11430</wp:posOffset>
              </wp:positionV>
              <wp:extent cx="5753100" cy="0"/>
              <wp:effectExtent l="0" t="0" r="0" b="0"/>
              <wp:wrapNone/>
              <wp:docPr id="5" name="Łącznik prosty 5"/>
              <wp:cNvGraphicFramePr/>
              <a:graphic xmlns:a="http://schemas.openxmlformats.org/drawingml/2006/main">
                <a:graphicData uri="http://schemas.microsoft.com/office/word/2010/wordprocessingShape">
                  <wps:wsp>
                    <wps:cNvCnPr/>
                    <wps:spPr>
                      <a:xfrm>
                        <a:off x="0" y="0"/>
                        <a:ext cx="575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E2A88E" id="Łącznik prosty 5"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01.8pt,.9pt" to="854.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" strokecolor="black [3213]" strokeweight=".5pt">
              <v:stroke joinstyle="miter"/>
              <w10:wrap anchorx="margin"/>
            </v:line>
          </w:pict>
        </mc:Fallback>
      </mc:AlternateContent>
    </w:r>
    <w:r w:rsidR="00A01AE7" w:rsidRPr="00A01AE7">
      <w:rPr>
        <w:sz w:val="20"/>
        <w:szCs w:val="20"/>
      </w:rPr>
      <w:t>Projekt grantowy pn. „Czytanie-Poznanie-Bez Barier” jest finansowany ze środków</w:t>
    </w:r>
  </w:p>
  <w:p w:rsidR="00C37C20" w:rsidRDefault="00A01AE7" w:rsidP="00A01AE7">
    <w:pPr>
      <w:spacing w:after="0" w:line="240" w:lineRule="auto"/>
      <w:jc w:val="center"/>
      <w:rPr>
        <w:sz w:val="20"/>
        <w:szCs w:val="20"/>
      </w:rPr>
    </w:pPr>
    <w:r w:rsidRPr="00A01AE7">
      <w:rPr>
        <w:sz w:val="20"/>
        <w:szCs w:val="20"/>
      </w:rPr>
      <w:t>Norweskiego Mechanizmu Finansowego 2014-2021</w:t>
    </w:r>
  </w:p>
  <w:p w:rsidR="00A01AE7" w:rsidRPr="00A01AE7" w:rsidRDefault="00A01AE7" w:rsidP="00A01AE7">
    <w:pPr>
      <w:spacing w:after="0" w:line="240" w:lineRule="auto"/>
      <w:jc w:val="center"/>
      <w:rPr>
        <w:sz w:val="20"/>
        <w:szCs w:val="20"/>
      </w:rPr>
    </w:pPr>
    <w:r w:rsidRPr="00A01AE7">
      <w:rPr>
        <w:sz w:val="20"/>
        <w:szCs w:val="20"/>
      </w:rPr>
      <w:t>oraz ze środków budżetu państwa w ramach Programu „Rozwój lokalny”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35D" w:rsidRDefault="0091035D" w:rsidP="00A01AE7">
      <w:pPr>
        <w:spacing w:after="0" w:line="240" w:lineRule="auto"/>
      </w:pPr>
      <w:r>
        <w:separator/>
      </w:r>
    </w:p>
  </w:footnote>
  <w:footnote w:type="continuationSeparator" w:id="0">
    <w:p w:rsidR="0091035D" w:rsidRDefault="0091035D" w:rsidP="00A01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850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3480"/>
      <w:gridCol w:w="3967"/>
    </w:tblGrid>
    <w:tr w:rsidR="002D5F1C" w:rsidTr="00A47C9D">
      <w:trPr>
        <w:trHeight w:val="1985"/>
      </w:trPr>
      <w:tc>
        <w:tcPr>
          <w:tcW w:w="1056" w:type="dxa"/>
          <w:vAlign w:val="center"/>
        </w:tcPr>
        <w:p w:rsidR="002D5F1C" w:rsidRDefault="002D5F1C" w:rsidP="00C37C20">
          <w:pPr>
            <w:pStyle w:val="Nagwek"/>
            <w:jc w:val="center"/>
          </w:pPr>
          <w:r>
            <w:rPr>
              <w:noProof/>
              <w:lang w:eastAsia="pl-PL"/>
            </w:rPr>
            <w:drawing>
              <wp:inline distT="0" distB="0" distL="0" distR="0" wp14:anchorId="32E9C244" wp14:editId="648A5447">
                <wp:extent cx="533400" cy="598278"/>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43006" cy="609053"/>
                        </a:xfrm>
                        <a:prstGeom prst="rect">
                          <a:avLst/>
                        </a:prstGeom>
                      </pic:spPr>
                    </pic:pic>
                  </a:graphicData>
                </a:graphic>
              </wp:inline>
            </w:drawing>
          </w:r>
        </w:p>
      </w:tc>
      <w:tc>
        <w:tcPr>
          <w:tcW w:w="3480" w:type="dxa"/>
          <w:vAlign w:val="center"/>
        </w:tcPr>
        <w:p w:rsidR="002D5F1C" w:rsidRDefault="002D5F1C" w:rsidP="002D5F1C">
          <w:pPr>
            <w:pStyle w:val="Nagwek"/>
            <w:jc w:val="center"/>
          </w:pPr>
        </w:p>
      </w:tc>
      <w:tc>
        <w:tcPr>
          <w:tcW w:w="3967" w:type="dxa"/>
          <w:vAlign w:val="center"/>
        </w:tcPr>
        <w:p w:rsidR="002D5F1C" w:rsidRDefault="002D5F1C" w:rsidP="002D5F1C">
          <w:pPr>
            <w:pStyle w:val="Nagwek"/>
            <w:jc w:val="right"/>
          </w:pPr>
          <w:r>
            <w:rPr>
              <w:noProof/>
              <w:lang w:eastAsia="pl-PL"/>
            </w:rPr>
            <w:drawing>
              <wp:inline distT="0" distB="0" distL="0" distR="0" wp14:anchorId="537249B6" wp14:editId="690952F8">
                <wp:extent cx="2289736" cy="55245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2">
                          <a:extLst>
                            <a:ext uri="{28A0092B-C50C-407E-A947-70E740481C1C}">
                              <a14:useLocalDpi xmlns:a14="http://schemas.microsoft.com/office/drawing/2010/main" val="0"/>
                            </a:ext>
                          </a:extLst>
                        </a:blip>
                        <a:stretch>
                          <a:fillRect/>
                        </a:stretch>
                      </pic:blipFill>
                      <pic:spPr>
                        <a:xfrm>
                          <a:off x="0" y="0"/>
                          <a:ext cx="2329091" cy="561945"/>
                        </a:xfrm>
                        <a:prstGeom prst="rect">
                          <a:avLst/>
                        </a:prstGeom>
                      </pic:spPr>
                    </pic:pic>
                  </a:graphicData>
                </a:graphic>
              </wp:inline>
            </w:drawing>
          </w:r>
        </w:p>
      </w:tc>
    </w:tr>
  </w:tbl>
  <w:p w:rsidR="00A01AE7" w:rsidRDefault="00A01AE7" w:rsidP="00C37C20">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A66C7"/>
    <w:multiLevelType w:val="hybridMultilevel"/>
    <w:tmpl w:val="5962A2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4FB0272"/>
    <w:multiLevelType w:val="multilevel"/>
    <w:tmpl w:val="0BA2A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F6"/>
    <w:rsid w:val="00230FCD"/>
    <w:rsid w:val="00234BB5"/>
    <w:rsid w:val="002D5F1C"/>
    <w:rsid w:val="003A3A63"/>
    <w:rsid w:val="003D1CB4"/>
    <w:rsid w:val="004170F6"/>
    <w:rsid w:val="0086140E"/>
    <w:rsid w:val="008E5E7C"/>
    <w:rsid w:val="0091035D"/>
    <w:rsid w:val="00A01AE7"/>
    <w:rsid w:val="00A47C9D"/>
    <w:rsid w:val="00C37C20"/>
    <w:rsid w:val="00E835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BD4E8"/>
  <w15:chartTrackingRefBased/>
  <w15:docId w15:val="{E5B04AA9-D7AC-47D0-A759-867FB6FF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70F6"/>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1A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1AE7"/>
  </w:style>
  <w:style w:type="paragraph" w:styleId="Stopka">
    <w:name w:val="footer"/>
    <w:basedOn w:val="Normalny"/>
    <w:link w:val="StopkaZnak"/>
    <w:uiPriority w:val="99"/>
    <w:unhideWhenUsed/>
    <w:rsid w:val="00A01A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1AE7"/>
  </w:style>
  <w:style w:type="table" w:styleId="Tabela-Siatka">
    <w:name w:val="Table Grid"/>
    <w:basedOn w:val="Standardowy"/>
    <w:uiPriority w:val="39"/>
    <w:rsid w:val="002D5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Wypunktowanie Znak,normalny tekst Znak,paragraf Znak,Numerowanie Znak,L1 Znak,Akapit z listą5 Znak,BulletC Znak,Obiekt Znak,List Paragraph1 Znak,List Paragraph Znak,RR PGE Akapit z listą Znak,Styl 1 Znak,Citation List Znak"/>
    <w:link w:val="Akapitzlist"/>
    <w:uiPriority w:val="34"/>
    <w:qFormat/>
    <w:locked/>
    <w:rsid w:val="004170F6"/>
  </w:style>
  <w:style w:type="paragraph" w:styleId="Akapitzlist">
    <w:name w:val="List Paragraph"/>
    <w:aliases w:val="Wypunktowanie,normalny tekst,paragraf,Numerowanie,L1,Akapit z listą5,BulletC,Obiekt,List Paragraph1,List Paragraph,RR PGE Akapit z listą,Styl 1,Citation List,본문(내용),List Paragraph (numbered (a)),Colorful List - Accent 11,List_Paragraph"/>
    <w:basedOn w:val="Normalny"/>
    <w:link w:val="AkapitzlistZnak"/>
    <w:uiPriority w:val="34"/>
    <w:qFormat/>
    <w:rsid w:val="00417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507">
      <w:bodyDiv w:val="1"/>
      <w:marLeft w:val="0"/>
      <w:marRight w:val="0"/>
      <w:marTop w:val="0"/>
      <w:marBottom w:val="0"/>
      <w:divBdr>
        <w:top w:val="none" w:sz="0" w:space="0" w:color="auto"/>
        <w:left w:val="none" w:sz="0" w:space="0" w:color="auto"/>
        <w:bottom w:val="none" w:sz="0" w:space="0" w:color="auto"/>
        <w:right w:val="none" w:sz="0" w:space="0" w:color="auto"/>
      </w:divBdr>
    </w:div>
    <w:div w:id="85264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Desktop\Baza%20konkurencyjno&#347;ci%20II\Firm&#243;wka%20-%20Fundusze%20Norweskie.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13FAC-C2F1-4886-8F7A-81E21581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Firmówka - Fundusze Norweskie.dotx</Template>
  <TotalTime>2</TotalTime>
  <Pages>1</Pages>
  <Words>764</Words>
  <Characters>4588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Użytkownik</cp:lastModifiedBy>
  <cp:revision>2</cp:revision>
  <cp:lastPrinted>2023-05-17T11:44:00Z</cp:lastPrinted>
  <dcterms:created xsi:type="dcterms:W3CDTF">2023-08-28T08:51:00Z</dcterms:created>
  <dcterms:modified xsi:type="dcterms:W3CDTF">2023-08-28T08:53:00Z</dcterms:modified>
</cp:coreProperties>
</file>