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5FF" w:rsidRDefault="001C45FF" w:rsidP="001C45FF">
      <w:pPr>
        <w:spacing w:before="188"/>
        <w:ind w:right="107"/>
        <w:jc w:val="center"/>
        <w:rPr>
          <w:b/>
          <w:sz w:val="24"/>
          <w:szCs w:val="24"/>
        </w:rPr>
      </w:pPr>
      <w:r>
        <w:rPr>
          <w:noProof/>
          <w:lang w:eastAsia="pl-PL"/>
        </w:rPr>
        <w:drawing>
          <wp:inline distT="0" distB="0" distL="0" distR="0" wp14:anchorId="3C8781E1" wp14:editId="358E6AC2">
            <wp:extent cx="5760720" cy="120519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05196"/>
                    </a:xfrm>
                    <a:prstGeom prst="rect">
                      <a:avLst/>
                    </a:prstGeom>
                    <a:noFill/>
                    <a:ln>
                      <a:noFill/>
                    </a:ln>
                  </pic:spPr>
                </pic:pic>
              </a:graphicData>
            </a:graphic>
          </wp:inline>
        </w:drawing>
      </w:r>
    </w:p>
    <w:p w:rsidR="001C45FF" w:rsidRDefault="001C45FF" w:rsidP="001C45FF">
      <w:pPr>
        <w:pStyle w:val="Nagwek1"/>
        <w:jc w:val="right"/>
        <w:rPr>
          <w:b/>
        </w:rPr>
      </w:pPr>
      <w:r w:rsidRPr="000B3A97">
        <w:rPr>
          <w:b/>
        </w:rPr>
        <w:t>Załącznik nr 2</w:t>
      </w:r>
      <w:r>
        <w:rPr>
          <w:b/>
        </w:rPr>
        <w:t>.3</w:t>
      </w:r>
      <w:r w:rsidRPr="000B3A97">
        <w:rPr>
          <w:b/>
        </w:rPr>
        <w:t>.1  do z</w:t>
      </w:r>
      <w:r>
        <w:rPr>
          <w:b/>
        </w:rPr>
        <w:t xml:space="preserve">apytania ofertowego nr  </w:t>
      </w:r>
      <w:r w:rsidRPr="009979A2">
        <w:rPr>
          <w:b/>
        </w:rPr>
        <w:t>RSG.271.13.2023.MKI</w:t>
      </w:r>
    </w:p>
    <w:p w:rsidR="00DA052A" w:rsidRDefault="00DA052A">
      <w:pPr>
        <w:pStyle w:val="Tekstpodstawowy"/>
        <w:spacing w:before="2"/>
        <w:rPr>
          <w:sz w:val="24"/>
          <w:szCs w:val="24"/>
        </w:rPr>
      </w:pPr>
    </w:p>
    <w:p w:rsidR="00DA052A" w:rsidRDefault="00DA052A">
      <w:pPr>
        <w:pStyle w:val="Tytu"/>
        <w:rPr>
          <w:sz w:val="24"/>
          <w:szCs w:val="24"/>
        </w:rPr>
      </w:pPr>
    </w:p>
    <w:p w:rsidR="00DA052A" w:rsidRDefault="00834BC5">
      <w:pPr>
        <w:pBdr>
          <w:bottom w:val="single" w:sz="4" w:space="1" w:color="000000"/>
        </w:pBdr>
        <w:jc w:val="center"/>
        <w:rPr>
          <w:sz w:val="24"/>
          <w:szCs w:val="24"/>
        </w:rPr>
      </w:pPr>
      <w:r>
        <w:rPr>
          <w:b/>
          <w:bCs/>
          <w:sz w:val="24"/>
          <w:szCs w:val="24"/>
        </w:rPr>
        <w:t>Wykaz parametrów technicznych i cech funkcjonalnych</w:t>
      </w:r>
    </w:p>
    <w:p w:rsidR="00DA052A" w:rsidRDefault="00DA052A">
      <w:pPr>
        <w:pStyle w:val="Standard"/>
        <w:jc w:val="center"/>
        <w:rPr>
          <w:b/>
          <w:bCs/>
        </w:rPr>
      </w:pPr>
    </w:p>
    <w:p w:rsidR="00DA052A" w:rsidRDefault="00834BC5">
      <w:pPr>
        <w:tabs>
          <w:tab w:val="left" w:pos="567"/>
        </w:tabs>
        <w:contextualSpacing/>
        <w:jc w:val="center"/>
        <w:rPr>
          <w:b/>
          <w:bCs/>
          <w:color w:val="000000"/>
          <w:sz w:val="24"/>
          <w:szCs w:val="24"/>
        </w:rPr>
      </w:pPr>
      <w:r>
        <w:rPr>
          <w:b/>
          <w:bCs/>
          <w:color w:val="000000"/>
          <w:sz w:val="24"/>
          <w:szCs w:val="24"/>
        </w:rPr>
        <w:t xml:space="preserve">Część III </w:t>
      </w:r>
      <w:r>
        <w:rPr>
          <w:bCs/>
          <w:color w:val="000000"/>
          <w:sz w:val="24"/>
          <w:szCs w:val="24"/>
        </w:rPr>
        <w:t xml:space="preserve">zamówienia: </w:t>
      </w:r>
      <w:r>
        <w:rPr>
          <w:b/>
          <w:bCs/>
          <w:color w:val="000000"/>
          <w:sz w:val="24"/>
          <w:szCs w:val="24"/>
        </w:rPr>
        <w:t>„D</w:t>
      </w:r>
      <w:r>
        <w:rPr>
          <w:b/>
          <w:bCs/>
          <w:color w:val="000000"/>
        </w:rPr>
        <w:t>ostawa sprzętu serwerowego</w:t>
      </w:r>
      <w:r>
        <w:rPr>
          <w:b/>
          <w:bCs/>
          <w:color w:val="000000"/>
          <w:sz w:val="24"/>
          <w:szCs w:val="24"/>
        </w:rPr>
        <w:t>”</w:t>
      </w:r>
    </w:p>
    <w:p w:rsidR="00DA052A" w:rsidRDefault="00834BC5">
      <w:pPr>
        <w:pStyle w:val="Nagwek11"/>
        <w:tabs>
          <w:tab w:val="left" w:pos="567"/>
        </w:tabs>
        <w:spacing w:before="158"/>
        <w:ind w:left="0" w:firstLine="0"/>
        <w:rPr>
          <w:sz w:val="22"/>
          <w:szCs w:val="22"/>
        </w:rPr>
      </w:pPr>
      <w:r>
        <w:rPr>
          <w:color w:val="000000"/>
          <w:sz w:val="22"/>
          <w:szCs w:val="22"/>
        </w:rPr>
        <w:t>Cześć III –  dostawa sprzętu serwerowego</w:t>
      </w:r>
    </w:p>
    <w:p w:rsidR="00DA052A" w:rsidRDefault="00834BC5">
      <w:pPr>
        <w:pStyle w:val="Nagwek11"/>
        <w:spacing w:before="158"/>
        <w:ind w:left="426" w:firstLine="0"/>
        <w:jc w:val="both"/>
        <w:rPr>
          <w:b w:val="0"/>
          <w:sz w:val="22"/>
          <w:szCs w:val="22"/>
        </w:rPr>
      </w:pPr>
      <w:r>
        <w:rPr>
          <w:b w:val="0"/>
          <w:sz w:val="22"/>
          <w:szCs w:val="22"/>
        </w:rPr>
        <w:t>Dostarczony sprzęt ma być wolny od wad technicznych, w</w:t>
      </w:r>
      <w:r w:rsidR="004A5B59">
        <w:rPr>
          <w:b w:val="0"/>
          <w:sz w:val="22"/>
          <w:szCs w:val="22"/>
        </w:rPr>
        <w:t xml:space="preserve"> </w:t>
      </w:r>
      <w:r>
        <w:rPr>
          <w:b w:val="0"/>
          <w:sz w:val="22"/>
          <w:szCs w:val="22"/>
          <w:u w:val="single"/>
        </w:rPr>
        <w:t>100 % nowy</w:t>
      </w:r>
      <w:r>
        <w:rPr>
          <w:b w:val="0"/>
          <w:sz w:val="22"/>
          <w:szCs w:val="22"/>
        </w:rPr>
        <w:t>, tzn. nieużywanych przed dniem dostarczenia,  z wyłączeniem używania niezbędnego dla przeprowadzenia testów poprawnej pracy, pochodzących z oficjalnych kanałów dystrybucyjnych producenta, zapewniających w szczególności realizację uprawnień gwarancyjnych. Dostarczony zostanie w opakowaniach producenta sprzętu dla danego produktu, zaopatrzony w etykiety identyfikujące dany produkt.</w:t>
      </w:r>
    </w:p>
    <w:p w:rsidR="00DA052A" w:rsidRDefault="00DA052A">
      <w:pPr>
        <w:pStyle w:val="Nagwek11"/>
        <w:tabs>
          <w:tab w:val="left" w:pos="877"/>
        </w:tabs>
        <w:spacing w:before="158"/>
        <w:ind w:left="941" w:firstLine="0"/>
        <w:rPr>
          <w:sz w:val="22"/>
          <w:szCs w:val="22"/>
        </w:rPr>
      </w:pPr>
    </w:p>
    <w:p w:rsidR="00DA052A" w:rsidRDefault="00834BC5">
      <w:pPr>
        <w:pStyle w:val="Akapitzlist"/>
        <w:numPr>
          <w:ilvl w:val="0"/>
          <w:numId w:val="1"/>
        </w:numPr>
        <w:spacing w:before="54"/>
        <w:ind w:right="305"/>
        <w:rPr>
          <w:b/>
        </w:rPr>
      </w:pPr>
      <w:r>
        <w:rPr>
          <w:b/>
        </w:rPr>
        <w:t xml:space="preserve">Serwer z oprogramowaniem - (1 </w:t>
      </w:r>
      <w:proofErr w:type="spellStart"/>
      <w:r>
        <w:rPr>
          <w:b/>
        </w:rPr>
        <w:t>kpl</w:t>
      </w:r>
      <w:proofErr w:type="spellEnd"/>
      <w:r>
        <w:rPr>
          <w:b/>
        </w:rPr>
        <w:t>.)</w:t>
      </w:r>
    </w:p>
    <w:p w:rsidR="00DA052A" w:rsidRDefault="00DA052A">
      <w:pPr>
        <w:spacing w:before="54"/>
        <w:ind w:left="427" w:right="305"/>
        <w:jc w:val="center"/>
        <w:rPr>
          <w:b/>
        </w:rPr>
      </w:pPr>
    </w:p>
    <w:tbl>
      <w:tblPr>
        <w:tblStyle w:val="Tabela-Siatka"/>
        <w:tblW w:w="12970" w:type="dxa"/>
        <w:tblInd w:w="427" w:type="dxa"/>
        <w:tblLayout w:type="fixed"/>
        <w:tblLook w:val="04A0" w:firstRow="1" w:lastRow="0" w:firstColumn="1" w:lastColumn="0" w:noHBand="0" w:noVBand="1"/>
      </w:tblPr>
      <w:tblGrid>
        <w:gridCol w:w="6485"/>
        <w:gridCol w:w="6485"/>
      </w:tblGrid>
      <w:tr w:rsidR="001C45FF" w:rsidTr="001C45FF">
        <w:trPr>
          <w:trHeight w:val="1629"/>
        </w:trPr>
        <w:tc>
          <w:tcPr>
            <w:tcW w:w="6485" w:type="dxa"/>
            <w:shd w:val="clear" w:color="auto" w:fill="8DB3E2" w:themeFill="text2" w:themeFillTint="66"/>
            <w:vAlign w:val="center"/>
          </w:tcPr>
          <w:p w:rsidR="001C45FF" w:rsidRDefault="001C45FF">
            <w:pPr>
              <w:spacing w:before="54"/>
              <w:ind w:right="305" w:hanging="31"/>
              <w:jc w:val="center"/>
              <w:rPr>
                <w:b/>
              </w:rPr>
            </w:pPr>
            <w:r>
              <w:rPr>
                <w:b/>
              </w:rPr>
              <w:t>Wymagane minimalne parametry techniczne komponentu</w:t>
            </w:r>
          </w:p>
        </w:tc>
        <w:tc>
          <w:tcPr>
            <w:tcW w:w="6485" w:type="dxa"/>
            <w:shd w:val="clear" w:color="auto" w:fill="8DB3E2" w:themeFill="text2" w:themeFillTint="66"/>
            <w:vAlign w:val="center"/>
          </w:tcPr>
          <w:p w:rsidR="001C45FF" w:rsidRDefault="001C45FF" w:rsidP="001C45FF">
            <w:pPr>
              <w:spacing w:before="54"/>
              <w:ind w:right="305" w:hanging="31"/>
              <w:jc w:val="center"/>
              <w:rPr>
                <w:b/>
              </w:rPr>
            </w:pPr>
            <w:r w:rsidRPr="00473553">
              <w:rPr>
                <w:b/>
              </w:rPr>
              <w:t>Wartość/nazwa oferowanego parametru</w:t>
            </w:r>
          </w:p>
        </w:tc>
      </w:tr>
      <w:tr w:rsidR="001C45FF" w:rsidTr="001C45FF">
        <w:trPr>
          <w:trHeight w:val="853"/>
        </w:trPr>
        <w:tc>
          <w:tcPr>
            <w:tcW w:w="6485" w:type="dxa"/>
          </w:tcPr>
          <w:p w:rsidR="001C45FF" w:rsidRDefault="001C45FF">
            <w:pPr>
              <w:spacing w:before="54"/>
              <w:ind w:right="305"/>
            </w:pPr>
            <w:r>
              <w:t>Serwer w obudowie typu RACK o wysokości max. 3U wyposażony w szyny ruchome oraz elementy do montażu w szafie serwerowej wraz systemem kopii zapasowych, pochodzący z oficjalnego kanału dystrybucji na rynek Unii Europejskiej</w:t>
            </w:r>
          </w:p>
        </w:tc>
        <w:tc>
          <w:tcPr>
            <w:tcW w:w="6485" w:type="dxa"/>
          </w:tcPr>
          <w:p w:rsidR="001C45FF" w:rsidRDefault="001C45FF">
            <w:pPr>
              <w:spacing w:before="54"/>
              <w:ind w:right="305"/>
            </w:pPr>
          </w:p>
        </w:tc>
      </w:tr>
      <w:tr w:rsidR="001C45FF" w:rsidTr="001C45FF">
        <w:trPr>
          <w:trHeight w:val="695"/>
        </w:trPr>
        <w:tc>
          <w:tcPr>
            <w:tcW w:w="6485" w:type="dxa"/>
          </w:tcPr>
          <w:p w:rsidR="001C45FF" w:rsidRDefault="001C45FF">
            <w:pPr>
              <w:spacing w:before="54"/>
              <w:ind w:right="305"/>
              <w:rPr>
                <w:b/>
                <w:u w:val="single"/>
              </w:rPr>
            </w:pPr>
            <w:r>
              <w:t>Zainstalowany min. 2 procesory 8 rdzeniowe w architekturze x64, cache 12MB przeznaczony do pracy ciągłej (serwerowy)</w:t>
            </w:r>
          </w:p>
        </w:tc>
        <w:tc>
          <w:tcPr>
            <w:tcW w:w="6485" w:type="dxa"/>
          </w:tcPr>
          <w:p w:rsidR="001C45FF" w:rsidRDefault="001C45FF">
            <w:pPr>
              <w:spacing w:before="54"/>
              <w:ind w:right="305"/>
            </w:pPr>
          </w:p>
        </w:tc>
      </w:tr>
      <w:tr w:rsidR="001C45FF" w:rsidTr="001C45FF">
        <w:trPr>
          <w:trHeight w:val="1238"/>
        </w:trPr>
        <w:tc>
          <w:tcPr>
            <w:tcW w:w="6485" w:type="dxa"/>
          </w:tcPr>
          <w:p w:rsidR="001C45FF" w:rsidRDefault="001C45FF" w:rsidP="00FC0809">
            <w:pPr>
              <w:spacing w:before="54"/>
              <w:ind w:right="305"/>
            </w:pPr>
            <w:r>
              <w:lastRenderedPageBreak/>
              <w:t>Płyta główna zaprojektowana i wyprodukowana na zlecenie producenta serwera, trwale oznaczona (na laminacie płyty głównej) z nazwą producenta oferowanego serwera i dedykowana dla danego urządzenia. Płyta główna powinna umożliwiać zainstalowanie 2 procesorów oraz pamięci RAM</w:t>
            </w:r>
          </w:p>
        </w:tc>
        <w:tc>
          <w:tcPr>
            <w:tcW w:w="6485" w:type="dxa"/>
          </w:tcPr>
          <w:p w:rsidR="001C45FF" w:rsidRDefault="001C45FF" w:rsidP="00FC0809">
            <w:pPr>
              <w:spacing w:before="54"/>
              <w:ind w:right="305"/>
            </w:pPr>
          </w:p>
        </w:tc>
      </w:tr>
      <w:tr w:rsidR="001C45FF" w:rsidTr="001C45FF">
        <w:trPr>
          <w:trHeight w:val="426"/>
        </w:trPr>
        <w:tc>
          <w:tcPr>
            <w:tcW w:w="6485" w:type="dxa"/>
          </w:tcPr>
          <w:p w:rsidR="001C45FF" w:rsidRDefault="001C45FF">
            <w:pPr>
              <w:spacing w:before="54"/>
              <w:ind w:right="305"/>
            </w:pPr>
            <w:r>
              <w:t>min. 4 x 32 GB DDR4 RDIMM o częstotliwości pracy 2600 MHz</w:t>
            </w:r>
          </w:p>
        </w:tc>
        <w:tc>
          <w:tcPr>
            <w:tcW w:w="6485" w:type="dxa"/>
          </w:tcPr>
          <w:p w:rsidR="001C45FF" w:rsidRDefault="001C45FF">
            <w:pPr>
              <w:spacing w:before="54"/>
              <w:ind w:right="305"/>
            </w:pPr>
          </w:p>
        </w:tc>
      </w:tr>
      <w:tr w:rsidR="001C45FF" w:rsidTr="001C45FF">
        <w:trPr>
          <w:trHeight w:val="884"/>
        </w:trPr>
        <w:tc>
          <w:tcPr>
            <w:tcW w:w="6485" w:type="dxa"/>
          </w:tcPr>
          <w:p w:rsidR="001C45FF" w:rsidRDefault="001C45FF">
            <w:pPr>
              <w:spacing w:before="54"/>
              <w:ind w:right="305"/>
            </w:pPr>
            <w:r>
              <w:t>Zainstalowane min. 4 dysków SSD, każdy o pojemności min. 480  GB, o parametrach min. 12Gb/s, Hot-Plug 2.5.</w:t>
            </w:r>
          </w:p>
          <w:p w:rsidR="001C45FF" w:rsidRDefault="001C45FF">
            <w:pPr>
              <w:spacing w:before="54"/>
              <w:ind w:right="305"/>
            </w:pPr>
          </w:p>
        </w:tc>
        <w:tc>
          <w:tcPr>
            <w:tcW w:w="6485" w:type="dxa"/>
          </w:tcPr>
          <w:p w:rsidR="001C45FF" w:rsidRDefault="001C45FF">
            <w:pPr>
              <w:spacing w:before="54"/>
              <w:ind w:right="305"/>
            </w:pPr>
          </w:p>
        </w:tc>
      </w:tr>
      <w:tr w:rsidR="001C45FF" w:rsidTr="001C45FF">
        <w:trPr>
          <w:trHeight w:val="677"/>
        </w:trPr>
        <w:tc>
          <w:tcPr>
            <w:tcW w:w="6485" w:type="dxa"/>
          </w:tcPr>
          <w:p w:rsidR="001C45FF" w:rsidRDefault="001C45FF">
            <w:pPr>
              <w:spacing w:before="54"/>
              <w:ind w:right="305"/>
            </w:pPr>
            <w:r>
              <w:t>Zainstalowany sprzętowy kontroler dyskowy RAID</w:t>
            </w:r>
          </w:p>
          <w:p w:rsidR="001C45FF" w:rsidRDefault="001C45FF">
            <w:pPr>
              <w:spacing w:before="54"/>
              <w:ind w:right="305"/>
            </w:pPr>
            <w:r>
              <w:t>SAS/SATA  z min 8  GB Cache, RAID 0/1/5/6/10/50/60</w:t>
            </w:r>
          </w:p>
        </w:tc>
        <w:tc>
          <w:tcPr>
            <w:tcW w:w="6485" w:type="dxa"/>
          </w:tcPr>
          <w:p w:rsidR="001C45FF" w:rsidRDefault="001C45FF">
            <w:pPr>
              <w:spacing w:before="54"/>
              <w:ind w:right="305"/>
            </w:pPr>
          </w:p>
        </w:tc>
      </w:tr>
      <w:tr w:rsidR="001C45FF" w:rsidTr="001C45FF">
        <w:trPr>
          <w:trHeight w:val="426"/>
        </w:trPr>
        <w:tc>
          <w:tcPr>
            <w:tcW w:w="6485" w:type="dxa"/>
          </w:tcPr>
          <w:p w:rsidR="001C45FF" w:rsidRDefault="001C45FF" w:rsidP="00E07AA4">
            <w:pPr>
              <w:spacing w:before="54"/>
              <w:ind w:right="305"/>
            </w:pPr>
            <w:r>
              <w:t>Karta graficzna zintegrowana z płytą główną umożliwiająca wyświetlanie rozdzielczości min. 1280x1024.</w:t>
            </w:r>
          </w:p>
        </w:tc>
        <w:tc>
          <w:tcPr>
            <w:tcW w:w="6485" w:type="dxa"/>
          </w:tcPr>
          <w:p w:rsidR="001C45FF" w:rsidRDefault="001C45FF" w:rsidP="00E07AA4">
            <w:pPr>
              <w:spacing w:before="54"/>
              <w:ind w:right="305"/>
            </w:pPr>
          </w:p>
        </w:tc>
      </w:tr>
      <w:tr w:rsidR="001C45FF" w:rsidTr="001C45FF">
        <w:trPr>
          <w:trHeight w:val="982"/>
        </w:trPr>
        <w:tc>
          <w:tcPr>
            <w:tcW w:w="6485" w:type="dxa"/>
          </w:tcPr>
          <w:p w:rsidR="001C45FF" w:rsidRDefault="001C45FF">
            <w:pPr>
              <w:spacing w:before="54"/>
              <w:ind w:right="305"/>
            </w:pPr>
            <w:r>
              <w:t>Wbudowana w płytę główną dwu portowa karta sieciowa z min 2 portami 1Gbit/s.</w:t>
            </w:r>
          </w:p>
          <w:p w:rsidR="001C45FF" w:rsidRDefault="001C45FF">
            <w:pPr>
              <w:spacing w:before="54"/>
              <w:ind w:right="305"/>
            </w:pPr>
            <w:r>
              <w:t>Dodatkowo zainstalowana dwu portowa karta 10Gbit/s SFP+.</w:t>
            </w:r>
          </w:p>
          <w:p w:rsidR="001C45FF" w:rsidRDefault="001C45FF">
            <w:pPr>
              <w:spacing w:before="54"/>
              <w:ind w:right="305"/>
            </w:pPr>
            <w:r>
              <w:t>Interfejsy sieciowe muszą pochodzić od tego samego producenta.</w:t>
            </w:r>
          </w:p>
        </w:tc>
        <w:tc>
          <w:tcPr>
            <w:tcW w:w="6485" w:type="dxa"/>
          </w:tcPr>
          <w:p w:rsidR="001C45FF" w:rsidRDefault="001C45FF">
            <w:pPr>
              <w:spacing w:before="54"/>
              <w:ind w:right="305"/>
            </w:pPr>
          </w:p>
        </w:tc>
      </w:tr>
      <w:tr w:rsidR="001C45FF" w:rsidTr="001C45FF">
        <w:trPr>
          <w:trHeight w:val="2565"/>
        </w:trPr>
        <w:tc>
          <w:tcPr>
            <w:tcW w:w="6485" w:type="dxa"/>
          </w:tcPr>
          <w:p w:rsidR="001C45FF" w:rsidRDefault="001C45FF">
            <w:pPr>
              <w:spacing w:before="54"/>
              <w:ind w:right="305"/>
            </w:pPr>
            <w:r>
              <w:t>na przednim panelu:</w:t>
            </w:r>
          </w:p>
          <w:p w:rsidR="001C45FF" w:rsidRDefault="001C45FF">
            <w:pPr>
              <w:spacing w:before="54"/>
              <w:ind w:right="305"/>
            </w:pPr>
            <w:r>
              <w:t>min. 1 port USB</w:t>
            </w:r>
          </w:p>
          <w:p w:rsidR="001C45FF" w:rsidRDefault="001C45FF">
            <w:pPr>
              <w:spacing w:before="54"/>
              <w:ind w:right="305"/>
            </w:pPr>
            <w:r>
              <w:t>min. 1 złącze video analogowe lub  cyfrowe</w:t>
            </w:r>
          </w:p>
          <w:p w:rsidR="001C45FF" w:rsidRDefault="001C45FF">
            <w:pPr>
              <w:spacing w:before="54"/>
              <w:ind w:right="305"/>
            </w:pPr>
            <w:r>
              <w:t>na tylnym panelu:</w:t>
            </w:r>
          </w:p>
          <w:p w:rsidR="001C45FF" w:rsidRDefault="001C45FF">
            <w:pPr>
              <w:spacing w:before="54"/>
              <w:ind w:right="305"/>
            </w:pPr>
            <w:r>
              <w:t>min. 1 złącze video analogowe lub  cyfrowe</w:t>
            </w:r>
          </w:p>
          <w:p w:rsidR="001C45FF" w:rsidRDefault="001C45FF">
            <w:pPr>
              <w:spacing w:before="54"/>
              <w:ind w:right="305"/>
            </w:pPr>
            <w:r>
              <w:t>min. 1 port USB 2.0</w:t>
            </w:r>
          </w:p>
          <w:p w:rsidR="001C45FF" w:rsidRDefault="001C45FF">
            <w:pPr>
              <w:spacing w:before="54"/>
              <w:ind w:right="305"/>
            </w:pPr>
            <w:r>
              <w:t>min. 1 port USB 3.0</w:t>
            </w:r>
          </w:p>
          <w:p w:rsidR="001C45FF" w:rsidRDefault="001C45FF">
            <w:pPr>
              <w:spacing w:before="54"/>
              <w:ind w:right="305"/>
            </w:pPr>
            <w:r>
              <w:t>min. 2 porty RJ-45</w:t>
            </w:r>
          </w:p>
          <w:p w:rsidR="001C45FF" w:rsidRDefault="001C45FF">
            <w:pPr>
              <w:spacing w:before="54"/>
              <w:ind w:right="305"/>
            </w:pPr>
            <w:r>
              <w:t>Ilość dostępnych złącz VGA i USB nie może być osiągnięta poprzez stosowanie zewnętrznych przejściówek, rozgałęziaczy</w:t>
            </w:r>
          </w:p>
        </w:tc>
        <w:tc>
          <w:tcPr>
            <w:tcW w:w="6485" w:type="dxa"/>
          </w:tcPr>
          <w:p w:rsidR="001C45FF" w:rsidRDefault="001C45FF">
            <w:pPr>
              <w:spacing w:before="54"/>
              <w:ind w:right="305"/>
            </w:pPr>
          </w:p>
        </w:tc>
      </w:tr>
      <w:tr w:rsidR="001C45FF" w:rsidTr="001C45FF">
        <w:trPr>
          <w:trHeight w:val="840"/>
        </w:trPr>
        <w:tc>
          <w:tcPr>
            <w:tcW w:w="6485" w:type="dxa"/>
          </w:tcPr>
          <w:p w:rsidR="001C45FF" w:rsidRDefault="001C45FF">
            <w:pPr>
              <w:spacing w:before="54"/>
              <w:ind w:right="305"/>
            </w:pPr>
            <w:r>
              <w:t>Min. 2 zasilacze o mocy co najmniej 800 W typu Hot-Plug, redundancyjne, dedykowane do zaoferowanego sprzętu zwymiarowane do wewnętrznych podzespołów.</w:t>
            </w:r>
          </w:p>
        </w:tc>
        <w:tc>
          <w:tcPr>
            <w:tcW w:w="6485" w:type="dxa"/>
          </w:tcPr>
          <w:p w:rsidR="001C45FF" w:rsidRDefault="001C45FF">
            <w:pPr>
              <w:spacing w:before="54"/>
              <w:ind w:right="305"/>
            </w:pPr>
          </w:p>
        </w:tc>
      </w:tr>
      <w:tr w:rsidR="001C45FF" w:rsidTr="001C45FF">
        <w:trPr>
          <w:trHeight w:val="633"/>
        </w:trPr>
        <w:tc>
          <w:tcPr>
            <w:tcW w:w="6485" w:type="dxa"/>
          </w:tcPr>
          <w:p w:rsidR="001C45FF" w:rsidRDefault="001C45FF">
            <w:pPr>
              <w:spacing w:before="54"/>
              <w:ind w:right="305"/>
            </w:pPr>
            <w:r>
              <w:t>W komplecie do oferowanego sprzętu wszystkie niezbędne do uruchomienia kable zasilające, przewody sygnałowe.</w:t>
            </w:r>
          </w:p>
        </w:tc>
        <w:tc>
          <w:tcPr>
            <w:tcW w:w="6485" w:type="dxa"/>
          </w:tcPr>
          <w:p w:rsidR="001C45FF" w:rsidRDefault="001C45FF">
            <w:pPr>
              <w:spacing w:before="54"/>
              <w:ind w:right="305"/>
            </w:pPr>
          </w:p>
        </w:tc>
      </w:tr>
      <w:tr w:rsidR="001C45FF" w:rsidTr="001C45FF">
        <w:trPr>
          <w:trHeight w:val="840"/>
        </w:trPr>
        <w:tc>
          <w:tcPr>
            <w:tcW w:w="6485" w:type="dxa"/>
            <w:tcBorders>
              <w:bottom w:val="single" w:sz="4" w:space="0" w:color="auto"/>
            </w:tcBorders>
          </w:tcPr>
          <w:p w:rsidR="001C45FF" w:rsidRDefault="001C45FF">
            <w:pPr>
              <w:tabs>
                <w:tab w:val="left" w:pos="417"/>
              </w:tabs>
              <w:spacing w:before="54"/>
              <w:ind w:right="305"/>
            </w:pPr>
            <w:r>
              <w:lastRenderedPageBreak/>
              <w:t>System operacyjny – fabrycznie nowy, nieużywany, nie pochodzący z recyklingu, z licencją na czas nieoznaczony, nie naruszający praw osób trzecich. System operacyjny wraz ze wszystkimi wymaganymi sterownikami podzespołów ma być zainstalowany lub preinstalowany na oferowanym urządzeniu komputerowym. Zabrania się instalowania lub preinstalowania systemu operacyjnego w jakimkolwiek środowisku wirtualnym. Zamawiający nie dopuszcza zaoferowania systemu operacyjnego, programów i planów licencyjnych opartych o rozwiązania chmurowe oraz rozwiązań wymagających wnoszenia przez Zamawiającego jakichkolwiek dodatkowych opłat związanych z użytkowaniem zakupionego systemu operacyjnego. Zamawiający wymaga, aby wszystkie elementy systemu operacyjnego oraz jego licencja pochodziły od tego samego producenta.</w:t>
            </w:r>
          </w:p>
          <w:p w:rsidR="001C45FF" w:rsidRDefault="001C45FF">
            <w:pPr>
              <w:tabs>
                <w:tab w:val="left" w:pos="417"/>
              </w:tabs>
              <w:spacing w:before="54"/>
              <w:ind w:right="305"/>
            </w:pPr>
            <w:r>
              <w:t>MS Windows Server 2022 Standard wersja polskojęzyczna z nieujawnianym wcześniej, nieaktywowanym wcześniej kluczem licencyjnym, pochodzący z oficjalnej sieci dystrybucji firmy Microsoft® wraz z licencjami dostępowymi CAL dla 35 użytkowników lub równoważny.</w:t>
            </w:r>
          </w:p>
          <w:p w:rsidR="001C45FF" w:rsidRDefault="001C45FF">
            <w:pPr>
              <w:tabs>
                <w:tab w:val="left" w:pos="417"/>
              </w:tabs>
              <w:spacing w:before="54"/>
              <w:ind w:right="305"/>
            </w:pPr>
            <w:r>
              <w:t>Warunki równoważności:</w:t>
            </w:r>
          </w:p>
          <w:p w:rsidR="001C45FF" w:rsidRDefault="001C45FF">
            <w:pPr>
              <w:tabs>
                <w:tab w:val="left" w:pos="417"/>
              </w:tabs>
              <w:spacing w:before="54"/>
              <w:ind w:right="305"/>
            </w:pPr>
            <w:r>
              <w:t>1.</w:t>
            </w:r>
            <w:r>
              <w:tab/>
              <w:t>System operacyjny musi być przeznaczony do zastosowań serwerowych w Środowiskach fizycznych lub o minimalnej wirtualizacji.</w:t>
            </w:r>
          </w:p>
          <w:p w:rsidR="001C45FF" w:rsidRDefault="001C45FF">
            <w:pPr>
              <w:tabs>
                <w:tab w:val="left" w:pos="417"/>
              </w:tabs>
              <w:spacing w:before="54"/>
              <w:ind w:right="305"/>
            </w:pPr>
            <w:r>
              <w:t>2.</w:t>
            </w:r>
            <w:r>
              <w:tab/>
              <w:t>System operacyjny musi być najnowszą wersją rodziny systemów operacyjnych danego producenta.</w:t>
            </w:r>
          </w:p>
          <w:p w:rsidR="001C45FF" w:rsidRDefault="001C45FF">
            <w:pPr>
              <w:tabs>
                <w:tab w:val="left" w:pos="417"/>
              </w:tabs>
              <w:spacing w:before="54"/>
              <w:ind w:right="305"/>
            </w:pPr>
            <w:r>
              <w:t>3.</w:t>
            </w:r>
            <w:r>
              <w:tab/>
              <w:t>Licencja na system operacyjny musi uwzględniać prawo do bezpłatnej instalacji udostępnianych przez producenta poprawek krytycznych i opcjonalnych do zakupionej wersji oprogramowania.</w:t>
            </w:r>
          </w:p>
          <w:p w:rsidR="001C45FF" w:rsidRDefault="001C45FF">
            <w:pPr>
              <w:tabs>
                <w:tab w:val="left" w:pos="417"/>
              </w:tabs>
              <w:spacing w:before="54"/>
              <w:ind w:right="305"/>
            </w:pPr>
            <w:r>
              <w:t>4.</w:t>
            </w:r>
            <w:r>
              <w:tab/>
              <w:t>Licencja na system operacyjny musi umożliwiać uruchomienie kontrolera domeny będącego w pełni zgodnym z domeną wdrożoną u Zamawiającego domeną Active Directory pracującą w oparciu o system Windows Server 2008 musi także być dostarczona możliwość uruchomienia roli kontrolera domeny Microsoft Active Directory na poziomie Microsoft Windows Server.</w:t>
            </w:r>
          </w:p>
          <w:p w:rsidR="001C45FF" w:rsidRDefault="001C45FF">
            <w:pPr>
              <w:tabs>
                <w:tab w:val="left" w:pos="417"/>
              </w:tabs>
              <w:spacing w:before="54"/>
              <w:ind w:right="305"/>
            </w:pPr>
            <w:r>
              <w:t>5.</w:t>
            </w:r>
            <w:r>
              <w:tab/>
              <w:t>Licencja na system operacyjny musi być licencją stałą, bez ograniczeń czasowych.</w:t>
            </w:r>
          </w:p>
          <w:p w:rsidR="001C45FF" w:rsidRDefault="001C45FF">
            <w:pPr>
              <w:tabs>
                <w:tab w:val="left" w:pos="417"/>
              </w:tabs>
              <w:spacing w:before="54"/>
              <w:ind w:right="305"/>
            </w:pPr>
            <w:r>
              <w:lastRenderedPageBreak/>
              <w:t>6.</w:t>
            </w:r>
            <w:r>
              <w:tab/>
              <w:t>Licencja na system operacyjny musi uprawniać do uruchamiania systemu operacyjnego w środowisku fizycznym i min. 1 środowisku wirtualnym za pomocą wbudowanego mechanizmu wirtualizacji, bez konieczności zakupu dodatkowych licencji.</w:t>
            </w:r>
          </w:p>
          <w:p w:rsidR="001C45FF" w:rsidRDefault="001C45FF">
            <w:pPr>
              <w:tabs>
                <w:tab w:val="left" w:pos="417"/>
              </w:tabs>
              <w:spacing w:before="54"/>
              <w:ind w:right="305"/>
            </w:pPr>
            <w:r>
              <w:t>7.</w:t>
            </w:r>
            <w:r>
              <w:tab/>
              <w:t xml:space="preserve">Zaimplementowanie w systemie operacyjnym środowiska </w:t>
            </w:r>
            <w:proofErr w:type="spellStart"/>
            <w:r>
              <w:t>wirtualizacyjnego</w:t>
            </w:r>
            <w:proofErr w:type="spellEnd"/>
            <w:r>
              <w:t xml:space="preserve"> musi umożliwiać dodawanie i usuwanie pamięci wirtualnej oraz wirtualnych kart sieciowych podczas pracy maszyny wirtualnej.</w:t>
            </w:r>
          </w:p>
          <w:p w:rsidR="001C45FF" w:rsidRDefault="001C45FF">
            <w:pPr>
              <w:tabs>
                <w:tab w:val="left" w:pos="417"/>
              </w:tabs>
              <w:spacing w:before="54"/>
              <w:ind w:right="305"/>
            </w:pPr>
            <w:r>
              <w:t>8.</w:t>
            </w:r>
            <w:r>
              <w:tab/>
              <w:t>System operacyjny musi posiadać graficzny interfejs użytkownika.</w:t>
            </w:r>
          </w:p>
          <w:p w:rsidR="001C45FF" w:rsidRDefault="001C45FF">
            <w:pPr>
              <w:tabs>
                <w:tab w:val="left" w:pos="417"/>
              </w:tabs>
              <w:spacing w:before="54"/>
              <w:ind w:right="305"/>
            </w:pPr>
            <w:r>
              <w:t>9.</w:t>
            </w:r>
            <w:r>
              <w:tab/>
              <w:t>System operacyjny musi być w pełni kompatybilny z usługą Active Directory w zakresie:</w:t>
            </w:r>
          </w:p>
          <w:p w:rsidR="001C45FF" w:rsidRDefault="001C45FF">
            <w:pPr>
              <w:tabs>
                <w:tab w:val="left" w:pos="417"/>
              </w:tabs>
              <w:spacing w:before="54"/>
              <w:ind w:right="305"/>
            </w:pPr>
            <w:r>
              <w:t>a)</w:t>
            </w:r>
            <w:r>
              <w:tab/>
              <w:t>zarządzania użytkownikami,</w:t>
            </w:r>
          </w:p>
          <w:p w:rsidR="001C45FF" w:rsidRDefault="001C45FF">
            <w:pPr>
              <w:tabs>
                <w:tab w:val="left" w:pos="417"/>
              </w:tabs>
              <w:spacing w:before="54"/>
              <w:ind w:right="305"/>
            </w:pPr>
            <w:r>
              <w:t>b)</w:t>
            </w:r>
            <w:r>
              <w:tab/>
              <w:t>zarządzania certyfikatami dla użytkowników wraz ze wsparciem możliwości logowania do domeny kartą mikroprocesorową,</w:t>
            </w:r>
          </w:p>
          <w:p w:rsidR="001C45FF" w:rsidRDefault="001C45FF">
            <w:pPr>
              <w:tabs>
                <w:tab w:val="left" w:pos="417"/>
              </w:tabs>
              <w:spacing w:before="54"/>
              <w:ind w:right="305"/>
            </w:pPr>
            <w:r>
              <w:t>c)</w:t>
            </w:r>
            <w:r>
              <w:tab/>
              <w:t>możliwości przydzielania praw dostępu do zasobów sieciowych,</w:t>
            </w:r>
          </w:p>
          <w:p w:rsidR="001C45FF" w:rsidRDefault="001C45FF">
            <w:pPr>
              <w:tabs>
                <w:tab w:val="left" w:pos="417"/>
              </w:tabs>
              <w:spacing w:before="54"/>
              <w:ind w:right="305"/>
            </w:pPr>
            <w:r>
              <w:t>d)</w:t>
            </w:r>
            <w:r>
              <w:tab/>
              <w:t xml:space="preserve">instalacji zdalnej oprogramowania z pakietów </w:t>
            </w:r>
            <w:proofErr w:type="spellStart"/>
            <w:r>
              <w:t>msi</w:t>
            </w:r>
            <w:proofErr w:type="spellEnd"/>
            <w:r>
              <w:t>,</w:t>
            </w:r>
          </w:p>
          <w:p w:rsidR="001C45FF" w:rsidRDefault="001C45FF">
            <w:pPr>
              <w:tabs>
                <w:tab w:val="left" w:pos="417"/>
              </w:tabs>
              <w:spacing w:before="54"/>
              <w:ind w:right="305"/>
            </w:pPr>
            <w:r>
              <w:t>e)</w:t>
            </w:r>
            <w:r>
              <w:tab/>
              <w:t>definiowania polityk bezpieczeństwa dla użytkowników, grup oraz stacji roboczych z systemami MS Windows: 8,8.1, 10. 11.</w:t>
            </w:r>
          </w:p>
          <w:p w:rsidR="001C45FF" w:rsidRDefault="001C45FF">
            <w:pPr>
              <w:tabs>
                <w:tab w:val="left" w:pos="417"/>
              </w:tabs>
              <w:spacing w:before="54"/>
              <w:ind w:right="305"/>
            </w:pPr>
            <w:r>
              <w:t>10.</w:t>
            </w:r>
            <w:r>
              <w:tab/>
              <w:t>System operacyjny musi wspierać pracę domenową wraz z automatyczną synchronizacją dla dodatkowych serwerów.</w:t>
            </w:r>
          </w:p>
          <w:p w:rsidR="001C45FF" w:rsidRDefault="001C45FF">
            <w:pPr>
              <w:tabs>
                <w:tab w:val="left" w:pos="417"/>
              </w:tabs>
              <w:spacing w:before="54"/>
              <w:ind w:right="305"/>
            </w:pPr>
            <w:r>
              <w:t>11.</w:t>
            </w:r>
            <w:r>
              <w:tab/>
              <w:t>System operacyjny musi wspierać zarządzanie przez dostępne narzędzia administracji serwera dla systemu Windows 10 (RSAT) oraz Windows Admin Centre.</w:t>
            </w:r>
          </w:p>
          <w:p w:rsidR="001C45FF" w:rsidRDefault="001C45FF">
            <w:pPr>
              <w:tabs>
                <w:tab w:val="left" w:pos="417"/>
              </w:tabs>
              <w:spacing w:before="54"/>
              <w:ind w:right="305"/>
            </w:pPr>
            <w:r>
              <w:t>12.</w:t>
            </w:r>
            <w:r>
              <w:tab/>
              <w:t>System operacyjny musi posiadać obsługę zdalnego pulpitu poprzez protokół RDP dla dostępu administracyjnego.</w:t>
            </w:r>
          </w:p>
          <w:p w:rsidR="001C45FF" w:rsidRDefault="001C45FF">
            <w:pPr>
              <w:tabs>
                <w:tab w:val="left" w:pos="417"/>
              </w:tabs>
              <w:spacing w:before="54"/>
              <w:ind w:right="305"/>
            </w:pPr>
            <w:r>
              <w:t>13.</w:t>
            </w:r>
            <w:r>
              <w:tab/>
              <w:t>System operacyjny musi umożliwiać ustawianie relacji zaufania pomiędzy domenami.</w:t>
            </w:r>
          </w:p>
          <w:p w:rsidR="001C45FF" w:rsidRDefault="001C45FF">
            <w:pPr>
              <w:tabs>
                <w:tab w:val="left" w:pos="417"/>
              </w:tabs>
              <w:spacing w:before="54"/>
              <w:ind w:right="305"/>
            </w:pPr>
            <w:r>
              <w:t>14.</w:t>
            </w:r>
            <w:r>
              <w:tab/>
              <w:t>Wszystkie narzędzia i usługi systemu operacyjnego powinny być rozwiązaniem jednego producenta.</w:t>
            </w:r>
          </w:p>
          <w:p w:rsidR="001C45FF" w:rsidRDefault="001C45FF">
            <w:pPr>
              <w:tabs>
                <w:tab w:val="left" w:pos="417"/>
              </w:tabs>
              <w:spacing w:before="54"/>
              <w:ind w:right="305"/>
            </w:pPr>
            <w:r>
              <w:t>15.</w:t>
            </w:r>
            <w:r>
              <w:tab/>
              <w:t>System operacyjny musi posiadać obsługę pamięci USB jako monitora klastra.</w:t>
            </w:r>
          </w:p>
          <w:p w:rsidR="001C45FF" w:rsidRDefault="001C45FF">
            <w:pPr>
              <w:tabs>
                <w:tab w:val="left" w:pos="417"/>
              </w:tabs>
              <w:spacing w:before="54"/>
              <w:ind w:right="305"/>
            </w:pPr>
            <w:r>
              <w:lastRenderedPageBreak/>
              <w:t>16.</w:t>
            </w:r>
            <w:r>
              <w:tab/>
              <w:t>System operacyjny musi pozwalać na stopniowe uaktualnienia systemu operacyjnego klastra.</w:t>
            </w:r>
          </w:p>
          <w:p w:rsidR="001C45FF" w:rsidRDefault="001C45FF">
            <w:pPr>
              <w:tabs>
                <w:tab w:val="left" w:pos="417"/>
              </w:tabs>
              <w:spacing w:before="54"/>
              <w:ind w:right="305"/>
            </w:pPr>
            <w:r>
              <w:t>17.</w:t>
            </w:r>
            <w:r>
              <w:tab/>
              <w:t xml:space="preserve">System operacyjny musi posiadać obsługę </w:t>
            </w:r>
            <w:proofErr w:type="spellStart"/>
            <w:r>
              <w:t>deduplikacji</w:t>
            </w:r>
            <w:proofErr w:type="spellEnd"/>
            <w:r>
              <w:t xml:space="preserve"> na potrzeby systemu plików </w:t>
            </w:r>
            <w:proofErr w:type="spellStart"/>
            <w:r>
              <w:t>ReFS</w:t>
            </w:r>
            <w:proofErr w:type="spellEnd"/>
            <w:r>
              <w:t>.</w:t>
            </w:r>
          </w:p>
          <w:p w:rsidR="001C45FF" w:rsidRDefault="001C45FF">
            <w:pPr>
              <w:tabs>
                <w:tab w:val="left" w:pos="417"/>
              </w:tabs>
              <w:spacing w:before="54"/>
              <w:ind w:right="305"/>
            </w:pPr>
            <w:r>
              <w:t>18.</w:t>
            </w:r>
            <w:r>
              <w:tab/>
              <w:t>System operacyjny musi posiadać obsługę optymalizacji transportu w tle pod kątem opóźnień.</w:t>
            </w:r>
          </w:p>
          <w:p w:rsidR="001C45FF" w:rsidRDefault="001C45FF">
            <w:pPr>
              <w:tabs>
                <w:tab w:val="left" w:pos="417"/>
              </w:tabs>
              <w:spacing w:before="54"/>
              <w:ind w:right="305"/>
            </w:pPr>
            <w:r>
              <w:t>19.</w:t>
            </w:r>
            <w:r>
              <w:tab/>
              <w:t>System operacyjny musi posiadać wbudowaną zaporę internetową (firewall) dla ochrony połączeń internetowych; zapora musi być zintegrowana z systemem konsoli do zarządzania ustawieniami zapory i regułami ipv4 i v6;</w:t>
            </w:r>
          </w:p>
          <w:p w:rsidR="001C45FF" w:rsidRDefault="001C45FF">
            <w:pPr>
              <w:tabs>
                <w:tab w:val="left" w:pos="417"/>
              </w:tabs>
              <w:spacing w:before="54"/>
              <w:ind w:right="305"/>
            </w:pPr>
            <w:r>
              <w:t>20.</w:t>
            </w:r>
            <w:r>
              <w:tab/>
              <w:t>System operacyjny musi posiadać możliwość uruchomienia serwera DNS z możliwością integracji z kontrolerem domeny;</w:t>
            </w:r>
          </w:p>
          <w:p w:rsidR="001C45FF" w:rsidRDefault="001C45FF">
            <w:pPr>
              <w:tabs>
                <w:tab w:val="left" w:pos="417"/>
              </w:tabs>
              <w:spacing w:before="54"/>
              <w:ind w:right="305"/>
            </w:pPr>
            <w:r>
              <w:t>21.</w:t>
            </w:r>
            <w:r>
              <w:tab/>
              <w:t>System operacyjny musi posiadać możliwość zdalnej automatycznej instalacji, konfiguracji, administrowania oraz aktualizowania systemu;</w:t>
            </w:r>
          </w:p>
          <w:p w:rsidR="001C45FF" w:rsidRDefault="001C45FF">
            <w:pPr>
              <w:tabs>
                <w:tab w:val="left" w:pos="417"/>
              </w:tabs>
              <w:spacing w:before="54"/>
              <w:ind w:right="305"/>
            </w:pPr>
            <w:r>
              <w:t>22.</w:t>
            </w:r>
            <w:r>
              <w:tab/>
              <w:t>System operacyjny musi posiadać domyślną obsługę PowerShell 5.1;</w:t>
            </w:r>
          </w:p>
          <w:p w:rsidR="001C45FF" w:rsidRDefault="001C45FF">
            <w:pPr>
              <w:tabs>
                <w:tab w:val="left" w:pos="417"/>
              </w:tabs>
              <w:spacing w:before="54"/>
              <w:ind w:right="305"/>
            </w:pPr>
            <w:r>
              <w:t>23.</w:t>
            </w:r>
            <w:r>
              <w:tab/>
              <w:t>System operacyjny musi posiadać obsługę certyfikatów w Active Directory.</w:t>
            </w:r>
          </w:p>
          <w:p w:rsidR="001C45FF" w:rsidRDefault="001C45FF">
            <w:pPr>
              <w:tabs>
                <w:tab w:val="left" w:pos="417"/>
              </w:tabs>
              <w:spacing w:before="54"/>
              <w:ind w:right="305"/>
            </w:pPr>
            <w:r>
              <w:t>24.</w:t>
            </w:r>
            <w:r>
              <w:tab/>
              <w:t>Wszystkie wymienione powyżej parametry, role, funkcje, itp. systemu operacyjnego objęte musza być dostarczoną licencją (licencjami) i zawarte w dostarczonej wersji oprogramowania (nie wymagają ponoszenia przez Zamawiającego dodatkowych kosztów).</w:t>
            </w:r>
          </w:p>
          <w:p w:rsidR="001C45FF" w:rsidRDefault="001C45FF">
            <w:pPr>
              <w:tabs>
                <w:tab w:val="left" w:pos="417"/>
              </w:tabs>
              <w:spacing w:before="54"/>
              <w:ind w:right="305"/>
            </w:pPr>
            <w:r>
              <w:t>Wymagania dla równoważnych licencji dostępowych dla użytkownika:</w:t>
            </w:r>
          </w:p>
          <w:p w:rsidR="001C45FF" w:rsidRDefault="001C45FF">
            <w:pPr>
              <w:tabs>
                <w:tab w:val="left" w:pos="417"/>
              </w:tabs>
              <w:spacing w:before="54"/>
              <w:ind w:right="305"/>
            </w:pPr>
            <w:r>
              <w:t>-</w:t>
            </w:r>
            <w:r>
              <w:tab/>
              <w:t>Licencja dostępowa dla użytkownika  umożliwiająca połączenie i wykorzystywanie wszystkich dostępnych funkcjonalności serwera Microsoft Windows Server 2022  z wdrożoną rolą Active Directory.</w:t>
            </w:r>
          </w:p>
          <w:p w:rsidR="001C45FF" w:rsidRDefault="001C45FF">
            <w:pPr>
              <w:tabs>
                <w:tab w:val="left" w:pos="417"/>
              </w:tabs>
              <w:spacing w:before="54"/>
              <w:ind w:right="305"/>
            </w:pPr>
            <w:r>
              <w:t>-</w:t>
            </w:r>
            <w:r>
              <w:tab/>
              <w:t>Każda z licencji umożliwia użytkownikowi na dostęp z dowolnego urządzenia do zasobów serwera.</w:t>
            </w:r>
          </w:p>
        </w:tc>
        <w:tc>
          <w:tcPr>
            <w:tcW w:w="6485" w:type="dxa"/>
            <w:tcBorders>
              <w:bottom w:val="single" w:sz="4" w:space="0" w:color="auto"/>
            </w:tcBorders>
          </w:tcPr>
          <w:p w:rsidR="001C45FF" w:rsidRDefault="001C45FF">
            <w:pPr>
              <w:tabs>
                <w:tab w:val="left" w:pos="417"/>
              </w:tabs>
              <w:spacing w:before="54"/>
              <w:ind w:right="305"/>
            </w:pPr>
          </w:p>
        </w:tc>
      </w:tr>
      <w:tr w:rsidR="001C45FF" w:rsidTr="001C45FF">
        <w:trPr>
          <w:trHeight w:val="913"/>
        </w:trPr>
        <w:tc>
          <w:tcPr>
            <w:tcW w:w="6485" w:type="dxa"/>
            <w:tcBorders>
              <w:top w:val="single" w:sz="4" w:space="0" w:color="auto"/>
              <w:left w:val="single" w:sz="4" w:space="0" w:color="auto"/>
              <w:bottom w:val="single" w:sz="4" w:space="0" w:color="auto"/>
              <w:right w:val="single" w:sz="4" w:space="0" w:color="auto"/>
            </w:tcBorders>
          </w:tcPr>
          <w:p w:rsidR="001C45FF" w:rsidRDefault="001C45FF">
            <w:pPr>
              <w:spacing w:before="54"/>
              <w:ind w:right="305"/>
            </w:pPr>
            <w:r>
              <w:lastRenderedPageBreak/>
              <w:t>System kopii zapasowych w obudowie typu RACK o wysokości max. 1U wyposażony w szyny oraz elementy do montażu w szafie serwerowej, pochodzący z oficjalnego kanału dystrybucji na rynek Unii Europejskiej</w:t>
            </w:r>
          </w:p>
        </w:tc>
        <w:tc>
          <w:tcPr>
            <w:tcW w:w="6485" w:type="dxa"/>
            <w:tcBorders>
              <w:top w:val="single" w:sz="4" w:space="0" w:color="auto"/>
              <w:left w:val="single" w:sz="4" w:space="0" w:color="auto"/>
              <w:bottom w:val="single" w:sz="4" w:space="0" w:color="auto"/>
              <w:right w:val="single" w:sz="4" w:space="0" w:color="auto"/>
            </w:tcBorders>
          </w:tcPr>
          <w:p w:rsidR="001C45FF" w:rsidRDefault="001C45FF">
            <w:pPr>
              <w:spacing w:before="54"/>
              <w:ind w:right="305"/>
            </w:pPr>
          </w:p>
        </w:tc>
      </w:tr>
      <w:tr w:rsidR="001C45FF" w:rsidTr="001C45FF">
        <w:trPr>
          <w:trHeight w:val="420"/>
        </w:trPr>
        <w:tc>
          <w:tcPr>
            <w:tcW w:w="6485" w:type="dxa"/>
            <w:tcBorders>
              <w:top w:val="single" w:sz="4" w:space="0" w:color="auto"/>
              <w:left w:val="single" w:sz="4" w:space="0" w:color="auto"/>
              <w:bottom w:val="single" w:sz="4" w:space="0" w:color="auto"/>
              <w:right w:val="single" w:sz="4" w:space="0" w:color="auto"/>
            </w:tcBorders>
          </w:tcPr>
          <w:p w:rsidR="001C45FF" w:rsidRPr="00557D9A" w:rsidRDefault="001C45FF">
            <w:pPr>
              <w:spacing w:before="54"/>
              <w:ind w:right="305"/>
              <w:rPr>
                <w:b/>
                <w:u w:val="single"/>
              </w:rPr>
            </w:pPr>
            <w:r>
              <w:lastRenderedPageBreak/>
              <w:t xml:space="preserve">Zainstalowany procesor 4 rdzeniowy w architekturze x64, przeznaczony do pracy ciągłej (serwerowy), </w:t>
            </w:r>
          </w:p>
        </w:tc>
        <w:tc>
          <w:tcPr>
            <w:tcW w:w="6485" w:type="dxa"/>
            <w:tcBorders>
              <w:top w:val="single" w:sz="4" w:space="0" w:color="auto"/>
              <w:left w:val="single" w:sz="4" w:space="0" w:color="auto"/>
              <w:bottom w:val="single" w:sz="4" w:space="0" w:color="auto"/>
              <w:right w:val="single" w:sz="4" w:space="0" w:color="auto"/>
            </w:tcBorders>
          </w:tcPr>
          <w:p w:rsidR="001C45FF" w:rsidRDefault="001C45FF">
            <w:pPr>
              <w:spacing w:before="54"/>
              <w:ind w:right="305"/>
            </w:pPr>
          </w:p>
        </w:tc>
      </w:tr>
      <w:tr w:rsidR="001C45FF" w:rsidTr="001C45FF">
        <w:trPr>
          <w:trHeight w:val="468"/>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r>
              <w:t>min. 4 GB SODIMM DDR4 RDIMM z możliwością rozbudowy</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p>
        </w:tc>
      </w:tr>
      <w:tr w:rsidR="001C45FF" w:rsidTr="001C45FF">
        <w:trPr>
          <w:trHeight w:val="525"/>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r>
              <w:t xml:space="preserve">4 sztuki  HDD, każdy o pojemności min. 400 GB TB  GB, o parametrach min. 6Gb/s, 5,4k </w:t>
            </w:r>
            <w:proofErr w:type="spellStart"/>
            <w:r>
              <w:t>obr</w:t>
            </w:r>
            <w:proofErr w:type="spellEnd"/>
            <w:r>
              <w:t>/min,</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p>
        </w:tc>
      </w:tr>
      <w:tr w:rsidR="001C45FF" w:rsidTr="001C45FF">
        <w:trPr>
          <w:trHeight w:val="607"/>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r>
              <w:t xml:space="preserve">Wnęki 4 dyski 3,5-calowe SATA 6 </w:t>
            </w:r>
            <w:proofErr w:type="spellStart"/>
            <w:r>
              <w:t>Gb</w:t>
            </w:r>
            <w:proofErr w:type="spellEnd"/>
            <w:r>
              <w:t xml:space="preserve">/s, 3 </w:t>
            </w:r>
            <w:proofErr w:type="spellStart"/>
            <w:r>
              <w:t>Gb</w:t>
            </w:r>
            <w:proofErr w:type="spellEnd"/>
            <w:r>
              <w:t>/s z kompatybilnością  2,5-calowe dyski twarde SATA; 2,5-calowe dyski SSD SATA</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p>
        </w:tc>
      </w:tr>
      <w:tr w:rsidR="001C45FF" w:rsidTr="001C45FF">
        <w:trPr>
          <w:trHeight w:val="272"/>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r>
              <w:t>Wymienność dysków podczas pracy</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p>
        </w:tc>
      </w:tr>
      <w:tr w:rsidR="001C45FF" w:rsidTr="001C45FF">
        <w:trPr>
          <w:trHeight w:val="278"/>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r>
              <w:t xml:space="preserve">2x M.2 2280 </w:t>
            </w:r>
            <w:proofErr w:type="spellStart"/>
            <w:r>
              <w:t>PCIe</w:t>
            </w:r>
            <w:proofErr w:type="spellEnd"/>
            <w:r>
              <w:t xml:space="preserve"> Gen 3  x1 </w:t>
            </w:r>
            <w:proofErr w:type="spellStart"/>
            <w:r>
              <w:t>slots</w:t>
            </w:r>
            <w:proofErr w:type="spellEnd"/>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p>
        </w:tc>
      </w:tr>
      <w:tr w:rsidR="001C45FF" w:rsidTr="001C45FF">
        <w:trPr>
          <w:trHeight w:val="607"/>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r>
              <w:t xml:space="preserve">min. 2 porty 2,5 Gigabit Ethernet </w:t>
            </w:r>
          </w:p>
          <w:p w:rsidR="001C45FF" w:rsidRDefault="001C45FF" w:rsidP="002E2E3C">
            <w:pPr>
              <w:spacing w:before="54"/>
              <w:ind w:right="305"/>
            </w:pPr>
            <w:r>
              <w:t>min. 2 porty 10BbeSFP+ Gigabit Ethernet</w:t>
            </w:r>
          </w:p>
          <w:p w:rsidR="001C45FF" w:rsidRDefault="001C45FF" w:rsidP="002E2E3C">
            <w:pPr>
              <w:spacing w:before="54"/>
              <w:ind w:right="305"/>
            </w:pPr>
            <w:r>
              <w:t>min. 2 porty USB  3.2 Gen 1</w:t>
            </w:r>
          </w:p>
          <w:p w:rsidR="001C45FF" w:rsidRDefault="001C45FF" w:rsidP="002E2E3C">
            <w:pPr>
              <w:spacing w:before="54"/>
              <w:ind w:right="305"/>
            </w:pPr>
            <w:r>
              <w:t xml:space="preserve"> min. 2 porty USB  2.0</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2E2E3C">
            <w:pPr>
              <w:spacing w:before="54"/>
              <w:ind w:right="305"/>
            </w:pPr>
          </w:p>
        </w:tc>
      </w:tr>
      <w:tr w:rsidR="001C45FF" w:rsidTr="001C45FF">
        <w:trPr>
          <w:trHeight w:val="448"/>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spacing w:before="54"/>
              <w:ind w:right="305"/>
            </w:pPr>
            <w:r>
              <w:t>Wskaźniki: status HHD 1-4, LAN, M.2 SSD 1-2, USB</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spacing w:before="54"/>
              <w:ind w:right="305"/>
            </w:pPr>
          </w:p>
        </w:tc>
      </w:tr>
      <w:tr w:rsidR="001C45FF" w:rsidTr="001C45FF">
        <w:trPr>
          <w:trHeight w:val="358"/>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spacing w:before="54"/>
              <w:ind w:right="305"/>
            </w:pPr>
            <w:r>
              <w:t>Fizyczne przyciski : zasilanie oraz reset</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spacing w:before="54"/>
              <w:ind w:right="305"/>
            </w:pPr>
          </w:p>
        </w:tc>
      </w:tr>
      <w:tr w:rsidR="001C45FF" w:rsidTr="001C45FF">
        <w:trPr>
          <w:trHeight w:val="321"/>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spacing w:before="54"/>
              <w:ind w:right="305"/>
            </w:pPr>
            <w:r w:rsidRPr="00557D9A">
              <w:t>Wake on LAN</w:t>
            </w:r>
          </w:p>
        </w:tc>
        <w:tc>
          <w:tcPr>
            <w:tcW w:w="6485" w:type="dxa"/>
            <w:tcBorders>
              <w:top w:val="single" w:sz="4" w:space="0" w:color="auto"/>
              <w:left w:val="single" w:sz="4" w:space="0" w:color="auto"/>
              <w:bottom w:val="single" w:sz="4" w:space="0" w:color="auto"/>
              <w:right w:val="single" w:sz="4" w:space="0" w:color="auto"/>
            </w:tcBorders>
          </w:tcPr>
          <w:p w:rsidR="001C45FF" w:rsidRPr="00557D9A" w:rsidRDefault="001C45FF" w:rsidP="00557D9A">
            <w:pPr>
              <w:spacing w:before="54"/>
              <w:ind w:right="305"/>
            </w:pPr>
          </w:p>
        </w:tc>
      </w:tr>
      <w:tr w:rsidR="001C45FF" w:rsidTr="001C45FF">
        <w:trPr>
          <w:trHeight w:val="537"/>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widowControl/>
              <w:suppressAutoHyphens w:val="0"/>
              <w:spacing w:after="160" w:line="259" w:lineRule="auto"/>
              <w:contextualSpacing/>
              <w:jc w:val="both"/>
            </w:pPr>
            <w:r w:rsidRPr="005064AF">
              <w:t>Certyfikat ISO 9001:2015 - dostarczanie usług serwisowych do urz</w:t>
            </w:r>
            <w:r w:rsidRPr="005064AF">
              <w:t>ą</w:t>
            </w:r>
            <w:r w:rsidRPr="005064AF">
              <w:t>dzeń oraz wdrożeń systemów informatycznych i oprogramowania  – Wykonawca na żądanie Zamawiającego, na każdym etapie realizacji umowy, zobowiązany jest dostarczyć  wymagany certyfikat,</w:t>
            </w:r>
          </w:p>
        </w:tc>
        <w:tc>
          <w:tcPr>
            <w:tcW w:w="6485" w:type="dxa"/>
            <w:tcBorders>
              <w:top w:val="single" w:sz="4" w:space="0" w:color="auto"/>
              <w:left w:val="single" w:sz="4" w:space="0" w:color="auto"/>
              <w:bottom w:val="single" w:sz="4" w:space="0" w:color="auto"/>
              <w:right w:val="single" w:sz="4" w:space="0" w:color="auto"/>
            </w:tcBorders>
          </w:tcPr>
          <w:p w:rsidR="001C45FF" w:rsidRPr="005064AF" w:rsidRDefault="001C45FF" w:rsidP="00557D9A">
            <w:pPr>
              <w:widowControl/>
              <w:suppressAutoHyphens w:val="0"/>
              <w:spacing w:after="160" w:line="259" w:lineRule="auto"/>
              <w:contextualSpacing/>
              <w:jc w:val="both"/>
            </w:pPr>
          </w:p>
        </w:tc>
      </w:tr>
      <w:tr w:rsidR="001C45FF" w:rsidTr="001C45FF">
        <w:trPr>
          <w:trHeight w:val="913"/>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E07AA4">
            <w:pPr>
              <w:ind w:right="305"/>
            </w:pPr>
          </w:p>
          <w:p w:rsidR="001C45FF" w:rsidRPr="00E07AA4" w:rsidRDefault="001C45FF" w:rsidP="00E07AA4">
            <w:pPr>
              <w:ind w:right="305"/>
            </w:pPr>
            <w:r>
              <w:t>Co najmniej 36 miesięczna gwarancja, świadczona na miejscu u klienta z czasem reakcji serwisu w  miejscu instalacji maksymalnie do 4 godzin roboczych.</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E07AA4">
            <w:pPr>
              <w:ind w:right="305"/>
            </w:pPr>
          </w:p>
        </w:tc>
      </w:tr>
      <w:tr w:rsidR="001C45FF" w:rsidTr="001C45FF">
        <w:trPr>
          <w:trHeight w:val="913"/>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widowControl/>
              <w:suppressAutoHyphens w:val="0"/>
              <w:spacing w:after="160" w:line="259" w:lineRule="auto"/>
              <w:contextualSpacing/>
              <w:jc w:val="both"/>
            </w:pPr>
            <w:r>
              <w:t>W ramach postępowania wraz z dostawą wykonana zostanie instalacja, podłączenie oraz konfiguracja i uruchomienie sprzętu wraz z migracją danych z obecnego systemu posiadanego przez Zamawiającego - Wi</w:t>
            </w:r>
            <w:r>
              <w:t>n</w:t>
            </w:r>
            <w:r>
              <w:t xml:space="preserve">dows 2008. </w:t>
            </w:r>
          </w:p>
          <w:p w:rsidR="001C45FF" w:rsidRDefault="001C45FF" w:rsidP="00557D9A">
            <w:pPr>
              <w:widowControl/>
              <w:suppressAutoHyphens w:val="0"/>
              <w:spacing w:after="160" w:line="259" w:lineRule="auto"/>
              <w:contextualSpacing/>
              <w:jc w:val="both"/>
            </w:pPr>
            <w:r w:rsidRPr="00B87C74">
              <w:t>Wdrożenie</w:t>
            </w:r>
            <w:r>
              <w:t>:</w:t>
            </w:r>
          </w:p>
          <w:p w:rsidR="001C45FF" w:rsidRPr="00B87C74" w:rsidRDefault="001C45FF" w:rsidP="004A5B59">
            <w:pPr>
              <w:widowControl/>
              <w:numPr>
                <w:ilvl w:val="0"/>
                <w:numId w:val="6"/>
              </w:numPr>
              <w:suppressAutoHyphens w:val="0"/>
              <w:spacing w:line="276" w:lineRule="auto"/>
            </w:pPr>
            <w:r w:rsidRPr="00B87C74">
              <w:t>Montaż fizycznych składników rozwiązania, łączenie interfe</w:t>
            </w:r>
            <w:r w:rsidRPr="00B87C74">
              <w:t>j</w:t>
            </w:r>
            <w:r w:rsidRPr="00B87C74">
              <w:t xml:space="preserve">sów zarządzania, sieci front-end i </w:t>
            </w:r>
            <w:proofErr w:type="spellStart"/>
            <w:r w:rsidRPr="00B87C74">
              <w:t>back</w:t>
            </w:r>
            <w:proofErr w:type="spellEnd"/>
            <w:r w:rsidRPr="00B87C74">
              <w:t>-end, konfiguracja i</w:t>
            </w:r>
            <w:r w:rsidRPr="00B87C74">
              <w:t>n</w:t>
            </w:r>
            <w:r w:rsidRPr="00B87C74">
              <w:t xml:space="preserve">terfejsów zarządzających serwerami, podłączenie zasilania, </w:t>
            </w:r>
            <w:r w:rsidRPr="00B87C74">
              <w:lastRenderedPageBreak/>
              <w:t>aktu</w:t>
            </w:r>
            <w:r w:rsidRPr="00B87C74">
              <w:t>a</w:t>
            </w:r>
            <w:r w:rsidRPr="00B87C74">
              <w:t>lizacja oprogramowania sprzętowego.</w:t>
            </w:r>
          </w:p>
          <w:p w:rsidR="001C45FF" w:rsidRPr="00B87C74" w:rsidRDefault="001C45FF" w:rsidP="004A5B59">
            <w:pPr>
              <w:widowControl/>
              <w:numPr>
                <w:ilvl w:val="0"/>
                <w:numId w:val="6"/>
              </w:numPr>
              <w:suppressAutoHyphens w:val="0"/>
              <w:spacing w:line="276" w:lineRule="auto"/>
            </w:pPr>
            <w:r w:rsidRPr="00B87C74">
              <w:t>Konfiguracja urządzeń sieciowych w odniesieniu do rozwi</w:t>
            </w:r>
            <w:r w:rsidRPr="00B87C74">
              <w:t>ą</w:t>
            </w:r>
            <w:r w:rsidRPr="00B87C74">
              <w:t xml:space="preserve">zania </w:t>
            </w:r>
            <w:proofErr w:type="spellStart"/>
            <w:r w:rsidRPr="00B87C74">
              <w:t>wirtualizacyjnego</w:t>
            </w:r>
            <w:proofErr w:type="spellEnd"/>
            <w:r w:rsidRPr="00B87C74">
              <w:t>.</w:t>
            </w:r>
          </w:p>
          <w:p w:rsidR="001C45FF" w:rsidRPr="00B87C74" w:rsidRDefault="001C45FF" w:rsidP="004A5B59">
            <w:pPr>
              <w:widowControl/>
              <w:numPr>
                <w:ilvl w:val="0"/>
                <w:numId w:val="6"/>
              </w:numPr>
              <w:suppressAutoHyphens w:val="0"/>
              <w:spacing w:line="276" w:lineRule="auto"/>
            </w:pPr>
            <w:r w:rsidRPr="00B87C74">
              <w:t>Instalacja systemów operacyjnych (np. serwer Windows), a</w:t>
            </w:r>
            <w:r w:rsidRPr="00B87C74">
              <w:t>k</w:t>
            </w:r>
            <w:r w:rsidRPr="00B87C74">
              <w:t>tualizacja.</w:t>
            </w:r>
          </w:p>
          <w:p w:rsidR="001C45FF" w:rsidRPr="00B87C74" w:rsidRDefault="001C45FF" w:rsidP="004A5B59">
            <w:pPr>
              <w:widowControl/>
              <w:numPr>
                <w:ilvl w:val="0"/>
                <w:numId w:val="6"/>
              </w:numPr>
              <w:suppressAutoHyphens w:val="0"/>
              <w:spacing w:line="276" w:lineRule="auto"/>
            </w:pPr>
            <w:r w:rsidRPr="00B87C74">
              <w:t>Konfiguracja usługi bazującej na oprogramowaniu definiow</w:t>
            </w:r>
            <w:r w:rsidRPr="00B87C74">
              <w:t>a</w:t>
            </w:r>
            <w:r w:rsidRPr="00B87C74">
              <w:t>nym magazynem.</w:t>
            </w:r>
          </w:p>
          <w:p w:rsidR="001C45FF" w:rsidRDefault="001C45FF" w:rsidP="004A5B59">
            <w:pPr>
              <w:widowControl/>
              <w:numPr>
                <w:ilvl w:val="0"/>
                <w:numId w:val="6"/>
              </w:numPr>
              <w:suppressAutoHyphens w:val="0"/>
              <w:spacing w:line="276" w:lineRule="auto"/>
            </w:pPr>
            <w:r w:rsidRPr="00B87C74">
              <w:t xml:space="preserve">Konfiguracja usług klastra dotyczących wirtualizacji, </w:t>
            </w:r>
            <w:r>
              <w:t>defini</w:t>
            </w:r>
            <w:r>
              <w:t>o</w:t>
            </w:r>
            <w:r>
              <w:t>wanie sieci wirtualnych,</w:t>
            </w:r>
          </w:p>
          <w:p w:rsidR="001C45FF" w:rsidRPr="00B87C74" w:rsidRDefault="001C45FF" w:rsidP="004A5B59">
            <w:pPr>
              <w:widowControl/>
              <w:numPr>
                <w:ilvl w:val="0"/>
                <w:numId w:val="6"/>
              </w:numPr>
              <w:suppressAutoHyphens w:val="0"/>
              <w:spacing w:line="276" w:lineRule="auto"/>
            </w:pPr>
            <w:r w:rsidRPr="00B87C74">
              <w:t>Instalacja i konfiguracja maszyn wirtualnych (np. serwer Wi</w:t>
            </w:r>
            <w:r w:rsidRPr="00B87C74">
              <w:t>n</w:t>
            </w:r>
            <w:r w:rsidRPr="00B87C74">
              <w:t>dows).</w:t>
            </w:r>
          </w:p>
          <w:p w:rsidR="001C45FF" w:rsidRPr="00B87C74" w:rsidRDefault="001C45FF" w:rsidP="004A5B59">
            <w:pPr>
              <w:widowControl/>
              <w:numPr>
                <w:ilvl w:val="0"/>
                <w:numId w:val="6"/>
              </w:numPr>
              <w:suppressAutoHyphens w:val="0"/>
              <w:spacing w:line="276" w:lineRule="auto"/>
            </w:pPr>
            <w:r w:rsidRPr="00B87C74">
              <w:t>Tworzenie wzorcowego obrazu maszyny wirtualnej (np. se</w:t>
            </w:r>
            <w:r w:rsidRPr="00B87C74">
              <w:t>r</w:t>
            </w:r>
            <w:r w:rsidRPr="00B87C74">
              <w:t>wer Windows).</w:t>
            </w:r>
          </w:p>
          <w:p w:rsidR="001C45FF" w:rsidRDefault="001C45FF" w:rsidP="004A5B59">
            <w:pPr>
              <w:widowControl/>
              <w:numPr>
                <w:ilvl w:val="0"/>
                <w:numId w:val="6"/>
              </w:numPr>
              <w:suppressAutoHyphens w:val="0"/>
              <w:spacing w:line="276" w:lineRule="auto"/>
            </w:pPr>
            <w:r w:rsidRPr="00B87C74">
              <w:t>Instalacja oprogramowania do zarządzania kopiami zapas</w:t>
            </w:r>
            <w:r w:rsidRPr="00B87C74">
              <w:t>o</w:t>
            </w:r>
            <w:r w:rsidRPr="00B87C74">
              <w:t>wymi na dedykowanym serwerze, konfiguracja lokalnych z</w:t>
            </w:r>
            <w:r w:rsidRPr="00B87C74">
              <w:t>a</w:t>
            </w:r>
            <w:r w:rsidRPr="00B87C74">
              <w:t>sobów serwera jako repozytorium kopii zapasowych, konfig</w:t>
            </w:r>
            <w:r w:rsidRPr="00B87C74">
              <w:t>u</w:t>
            </w:r>
            <w:r w:rsidRPr="00B87C74">
              <w:t>racja zadań tworzenia kopii zapasowych dla danego środow</w:t>
            </w:r>
            <w:r w:rsidRPr="00B87C74">
              <w:t>i</w:t>
            </w:r>
            <w:r w:rsidRPr="00B87C74">
              <w:t>ska, weryfikacja kopii zapasowej - przywróc</w:t>
            </w:r>
            <w:r>
              <w:t>enie wybranej maszyny</w:t>
            </w:r>
          </w:p>
          <w:p w:rsidR="001C45FF" w:rsidRPr="00B87C74" w:rsidRDefault="001C45FF" w:rsidP="004A5B59">
            <w:pPr>
              <w:widowControl/>
              <w:numPr>
                <w:ilvl w:val="0"/>
                <w:numId w:val="6"/>
              </w:numPr>
              <w:suppressAutoHyphens w:val="0"/>
              <w:spacing w:line="276" w:lineRule="auto"/>
            </w:pPr>
            <w:r>
              <w:t>migracją danych z obecnego systemu posiadanego przez Z</w:t>
            </w:r>
            <w:r>
              <w:t>a</w:t>
            </w:r>
            <w:r>
              <w:t xml:space="preserve">mawiającego - Windows 2008. </w:t>
            </w:r>
          </w:p>
          <w:p w:rsidR="001C45FF" w:rsidRPr="00B87C74" w:rsidRDefault="001C45FF" w:rsidP="004A5B59">
            <w:pPr>
              <w:widowControl/>
              <w:numPr>
                <w:ilvl w:val="0"/>
                <w:numId w:val="6"/>
              </w:numPr>
              <w:suppressAutoHyphens w:val="0"/>
              <w:spacing w:line="276" w:lineRule="auto"/>
            </w:pPr>
            <w:r w:rsidRPr="00B87C74">
              <w:t>Weryfikacja funkcjonowania środowiska.</w:t>
            </w:r>
          </w:p>
          <w:p w:rsidR="001C45FF" w:rsidRPr="00B87C74" w:rsidRDefault="001C45FF" w:rsidP="004A5B59">
            <w:pPr>
              <w:widowControl/>
              <w:numPr>
                <w:ilvl w:val="0"/>
                <w:numId w:val="6"/>
              </w:numPr>
              <w:suppressAutoHyphens w:val="0"/>
              <w:spacing w:line="276" w:lineRule="auto"/>
            </w:pPr>
            <w:r w:rsidRPr="00B87C74">
              <w:t>Włączenie funkcji serwera usług katalogowych na wybranej maszynie wirtualnej.</w:t>
            </w:r>
          </w:p>
          <w:p w:rsidR="001C45FF" w:rsidRPr="00B87C74" w:rsidRDefault="001C45FF" w:rsidP="004A5B59">
            <w:pPr>
              <w:widowControl/>
              <w:numPr>
                <w:ilvl w:val="0"/>
                <w:numId w:val="6"/>
              </w:numPr>
              <w:suppressAutoHyphens w:val="0"/>
              <w:spacing w:line="276" w:lineRule="auto"/>
            </w:pPr>
            <w:r w:rsidRPr="00B87C74">
              <w:t>Konfiguracja polityk usług katalogowych dotyczących urz</w:t>
            </w:r>
            <w:r w:rsidRPr="00B87C74">
              <w:t>ą</w:t>
            </w:r>
            <w:r w:rsidRPr="00B87C74">
              <w:t>dzeń i użytkowników.</w:t>
            </w:r>
          </w:p>
          <w:p w:rsidR="001C45FF" w:rsidRPr="00B87C74" w:rsidRDefault="001C45FF" w:rsidP="004A5B59">
            <w:pPr>
              <w:widowControl/>
              <w:numPr>
                <w:ilvl w:val="0"/>
                <w:numId w:val="6"/>
              </w:numPr>
              <w:suppressAutoHyphens w:val="0"/>
              <w:spacing w:line="276" w:lineRule="auto"/>
            </w:pPr>
            <w:r w:rsidRPr="00B87C74">
              <w:t>Konfiguracja profili użytkowników.</w:t>
            </w:r>
          </w:p>
          <w:p w:rsidR="001C45FF" w:rsidRPr="00B87C74" w:rsidRDefault="001C45FF" w:rsidP="004A5B59">
            <w:pPr>
              <w:widowControl/>
              <w:numPr>
                <w:ilvl w:val="0"/>
                <w:numId w:val="6"/>
              </w:numPr>
              <w:suppressAutoHyphens w:val="0"/>
              <w:spacing w:line="276" w:lineRule="auto"/>
            </w:pPr>
            <w:r w:rsidRPr="00B87C74">
              <w:t>Konfiguracja dostępu do wybranych zasobów.</w:t>
            </w:r>
          </w:p>
          <w:p w:rsidR="001C45FF" w:rsidRPr="00B87C74" w:rsidRDefault="001C45FF" w:rsidP="004A5B59">
            <w:pPr>
              <w:widowControl/>
              <w:numPr>
                <w:ilvl w:val="0"/>
                <w:numId w:val="6"/>
              </w:numPr>
              <w:suppressAutoHyphens w:val="0"/>
              <w:spacing w:line="276" w:lineRule="auto"/>
            </w:pPr>
            <w:r w:rsidRPr="00B87C74">
              <w:t>Instalacja usług serwera terminalowego na maszynie wirtua</w:t>
            </w:r>
            <w:r w:rsidRPr="00B87C74">
              <w:t>l</w:t>
            </w:r>
            <w:r w:rsidRPr="00B87C74">
              <w:t>nej i konfiguracja usług zdalnego dostępu.</w:t>
            </w:r>
          </w:p>
          <w:p w:rsidR="001C45FF" w:rsidRPr="005064AF" w:rsidRDefault="001C45FF" w:rsidP="00557D9A">
            <w:pPr>
              <w:widowControl/>
              <w:suppressAutoHyphens w:val="0"/>
              <w:spacing w:after="160" w:line="259" w:lineRule="auto"/>
              <w:contextualSpacing/>
              <w:jc w:val="both"/>
            </w:pP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557D9A">
            <w:pPr>
              <w:widowControl/>
              <w:suppressAutoHyphens w:val="0"/>
              <w:spacing w:after="160" w:line="259" w:lineRule="auto"/>
              <w:contextualSpacing/>
              <w:jc w:val="both"/>
            </w:pPr>
          </w:p>
        </w:tc>
      </w:tr>
    </w:tbl>
    <w:p w:rsidR="00DA052A" w:rsidRDefault="00DA052A">
      <w:pPr>
        <w:spacing w:before="54"/>
        <w:ind w:left="427" w:right="305"/>
        <w:jc w:val="center"/>
        <w:rPr>
          <w:b/>
        </w:rPr>
      </w:pPr>
    </w:p>
    <w:p w:rsidR="00163C60" w:rsidRDefault="00163C60">
      <w:pPr>
        <w:spacing w:before="54"/>
        <w:ind w:left="427" w:right="305"/>
        <w:jc w:val="center"/>
        <w:rPr>
          <w:b/>
        </w:rPr>
      </w:pPr>
    </w:p>
    <w:p w:rsidR="001C45FF" w:rsidRDefault="001C45FF">
      <w:pPr>
        <w:spacing w:before="54"/>
        <w:ind w:left="427" w:right="305"/>
        <w:jc w:val="center"/>
        <w:rPr>
          <w:b/>
        </w:rPr>
      </w:pPr>
    </w:p>
    <w:p w:rsidR="00B03E73" w:rsidRPr="00B03E73" w:rsidRDefault="00B03E73" w:rsidP="00B03E73">
      <w:pPr>
        <w:pStyle w:val="Akapitzlist"/>
        <w:numPr>
          <w:ilvl w:val="0"/>
          <w:numId w:val="1"/>
        </w:numPr>
        <w:spacing w:before="54"/>
        <w:ind w:right="305"/>
        <w:rPr>
          <w:b/>
        </w:rPr>
      </w:pPr>
      <w:r>
        <w:rPr>
          <w:b/>
        </w:rPr>
        <w:lastRenderedPageBreak/>
        <w:t xml:space="preserve">Zasilacz awaryjny UPS </w:t>
      </w:r>
      <w:r w:rsidRPr="00B03E73">
        <w:rPr>
          <w:b/>
        </w:rPr>
        <w:t xml:space="preserve">- (1 </w:t>
      </w:r>
      <w:r>
        <w:rPr>
          <w:b/>
        </w:rPr>
        <w:t>szt</w:t>
      </w:r>
      <w:r w:rsidRPr="00B03E73">
        <w:rPr>
          <w:b/>
        </w:rPr>
        <w:t>.)</w:t>
      </w:r>
    </w:p>
    <w:p w:rsidR="00DA052A" w:rsidRPr="004B4A82" w:rsidRDefault="00DA052A" w:rsidP="004B4A82">
      <w:pPr>
        <w:spacing w:before="54"/>
        <w:ind w:right="305"/>
        <w:rPr>
          <w:b/>
        </w:rPr>
      </w:pPr>
    </w:p>
    <w:tbl>
      <w:tblPr>
        <w:tblStyle w:val="Tabela-Siatka"/>
        <w:tblW w:w="12970" w:type="dxa"/>
        <w:tblInd w:w="427" w:type="dxa"/>
        <w:tblLayout w:type="fixed"/>
        <w:tblLook w:val="04A0" w:firstRow="1" w:lastRow="0" w:firstColumn="1" w:lastColumn="0" w:noHBand="0" w:noVBand="1"/>
      </w:tblPr>
      <w:tblGrid>
        <w:gridCol w:w="6485"/>
        <w:gridCol w:w="6485"/>
      </w:tblGrid>
      <w:tr w:rsidR="001C45FF" w:rsidTr="001C45FF">
        <w:trPr>
          <w:trHeight w:val="1257"/>
        </w:trPr>
        <w:tc>
          <w:tcPr>
            <w:tcW w:w="6485" w:type="dxa"/>
            <w:shd w:val="clear" w:color="auto" w:fill="95B3D7" w:themeFill="accent1" w:themeFillTint="99"/>
            <w:vAlign w:val="center"/>
          </w:tcPr>
          <w:p w:rsidR="001C45FF" w:rsidRDefault="001C45FF" w:rsidP="00B870D1">
            <w:pPr>
              <w:spacing w:before="54"/>
              <w:ind w:right="305" w:hanging="31"/>
              <w:jc w:val="center"/>
              <w:rPr>
                <w:b/>
              </w:rPr>
            </w:pPr>
            <w:r>
              <w:rPr>
                <w:b/>
              </w:rPr>
              <w:t>Wymagane minimalne parametry techniczne komponentu</w:t>
            </w:r>
          </w:p>
        </w:tc>
        <w:tc>
          <w:tcPr>
            <w:tcW w:w="6485" w:type="dxa"/>
            <w:shd w:val="clear" w:color="auto" w:fill="95B3D7" w:themeFill="accent1" w:themeFillTint="99"/>
            <w:vAlign w:val="center"/>
          </w:tcPr>
          <w:p w:rsidR="001C45FF" w:rsidRDefault="001C45FF" w:rsidP="001C45FF">
            <w:pPr>
              <w:spacing w:before="54"/>
              <w:ind w:right="305" w:hanging="31"/>
              <w:jc w:val="center"/>
              <w:rPr>
                <w:b/>
              </w:rPr>
            </w:pPr>
            <w:r w:rsidRPr="00473553">
              <w:rPr>
                <w:b/>
              </w:rPr>
              <w:t>Wartość/nazwa oferowanego parametru</w:t>
            </w:r>
          </w:p>
        </w:tc>
      </w:tr>
      <w:tr w:rsidR="001C45FF" w:rsidTr="001C45FF">
        <w:trPr>
          <w:trHeight w:val="167"/>
        </w:trPr>
        <w:tc>
          <w:tcPr>
            <w:tcW w:w="6485" w:type="dxa"/>
          </w:tcPr>
          <w:p w:rsidR="001C45FF" w:rsidRDefault="001C45FF" w:rsidP="00B03E73">
            <w:pPr>
              <w:spacing w:before="54"/>
              <w:ind w:right="305"/>
            </w:pPr>
            <w:r>
              <w:t xml:space="preserve">Typ Online </w:t>
            </w:r>
          </w:p>
        </w:tc>
        <w:tc>
          <w:tcPr>
            <w:tcW w:w="6485" w:type="dxa"/>
          </w:tcPr>
          <w:p w:rsidR="001C45FF" w:rsidRDefault="001C45FF" w:rsidP="00B03E73">
            <w:pPr>
              <w:spacing w:before="54"/>
              <w:ind w:right="305"/>
            </w:pPr>
          </w:p>
        </w:tc>
      </w:tr>
      <w:tr w:rsidR="001C45FF" w:rsidTr="001C45FF">
        <w:trPr>
          <w:trHeight w:val="595"/>
        </w:trPr>
        <w:tc>
          <w:tcPr>
            <w:tcW w:w="6485" w:type="dxa"/>
          </w:tcPr>
          <w:p w:rsidR="001C45FF" w:rsidRDefault="001C45FF" w:rsidP="004D5287">
            <w:pPr>
              <w:spacing w:before="54"/>
              <w:ind w:right="305"/>
            </w:pPr>
            <w:r>
              <w:t>Obudowa typu RACK o wysokości max. 2U wyposażony w szyny oraz elementy do montażu w szafie serwerowej, pochodzący z oficjalnego kanału dystrybucji na rynek Unii Europejskiej</w:t>
            </w:r>
          </w:p>
        </w:tc>
        <w:tc>
          <w:tcPr>
            <w:tcW w:w="6485" w:type="dxa"/>
          </w:tcPr>
          <w:p w:rsidR="001C45FF" w:rsidRDefault="001C45FF" w:rsidP="004D5287">
            <w:pPr>
              <w:spacing w:before="54"/>
              <w:ind w:right="305"/>
            </w:pPr>
          </w:p>
        </w:tc>
      </w:tr>
      <w:tr w:rsidR="001C45FF" w:rsidTr="001C45FF">
        <w:trPr>
          <w:trHeight w:val="167"/>
        </w:trPr>
        <w:tc>
          <w:tcPr>
            <w:tcW w:w="6485" w:type="dxa"/>
          </w:tcPr>
          <w:p w:rsidR="001C45FF" w:rsidRDefault="001C45FF" w:rsidP="00B870D1">
            <w:pPr>
              <w:spacing w:before="54"/>
              <w:ind w:right="305"/>
              <w:rPr>
                <w:b/>
                <w:u w:val="single"/>
              </w:rPr>
            </w:pPr>
            <w:r>
              <w:t>Urządzenie montowane jest do szafy RACK 19"</w:t>
            </w:r>
          </w:p>
        </w:tc>
        <w:tc>
          <w:tcPr>
            <w:tcW w:w="6485" w:type="dxa"/>
          </w:tcPr>
          <w:p w:rsidR="001C45FF" w:rsidRDefault="001C45FF" w:rsidP="00B870D1">
            <w:pPr>
              <w:spacing w:before="54"/>
              <w:ind w:right="305"/>
            </w:pPr>
          </w:p>
        </w:tc>
      </w:tr>
      <w:tr w:rsidR="001C45FF" w:rsidTr="001C45FF">
        <w:trPr>
          <w:trHeight w:val="167"/>
        </w:trPr>
        <w:tc>
          <w:tcPr>
            <w:tcW w:w="6485" w:type="dxa"/>
          </w:tcPr>
          <w:p w:rsidR="001C45FF" w:rsidRDefault="001C45FF" w:rsidP="00B870D1">
            <w:pPr>
              <w:spacing w:before="54"/>
              <w:ind w:right="305"/>
            </w:pPr>
            <w:r>
              <w:t>Moc czynna  min. 2700 W</w:t>
            </w:r>
          </w:p>
        </w:tc>
        <w:tc>
          <w:tcPr>
            <w:tcW w:w="6485" w:type="dxa"/>
          </w:tcPr>
          <w:p w:rsidR="001C45FF" w:rsidRDefault="001C45FF" w:rsidP="00B870D1">
            <w:pPr>
              <w:spacing w:before="54"/>
              <w:ind w:right="305"/>
            </w:pPr>
          </w:p>
        </w:tc>
      </w:tr>
      <w:tr w:rsidR="001C45FF" w:rsidTr="001C45FF">
        <w:trPr>
          <w:trHeight w:val="167"/>
        </w:trPr>
        <w:tc>
          <w:tcPr>
            <w:tcW w:w="6485" w:type="dxa"/>
          </w:tcPr>
          <w:p w:rsidR="001C45FF" w:rsidRDefault="001C45FF" w:rsidP="00B870D1">
            <w:pPr>
              <w:spacing w:before="54"/>
              <w:ind w:right="305"/>
            </w:pPr>
            <w:r>
              <w:t>Moc pozorna min. 3000 VA</w:t>
            </w:r>
          </w:p>
        </w:tc>
        <w:tc>
          <w:tcPr>
            <w:tcW w:w="6485" w:type="dxa"/>
          </w:tcPr>
          <w:p w:rsidR="001C45FF" w:rsidRDefault="001C45FF" w:rsidP="00B870D1">
            <w:pPr>
              <w:spacing w:before="54"/>
              <w:ind w:right="305"/>
            </w:pPr>
          </w:p>
        </w:tc>
      </w:tr>
      <w:tr w:rsidR="001C45FF" w:rsidTr="001C45FF">
        <w:trPr>
          <w:trHeight w:val="334"/>
        </w:trPr>
        <w:tc>
          <w:tcPr>
            <w:tcW w:w="6485" w:type="dxa"/>
          </w:tcPr>
          <w:p w:rsidR="001C45FF" w:rsidRDefault="001C45FF" w:rsidP="00B870D1">
            <w:pPr>
              <w:spacing w:before="54"/>
              <w:ind w:right="305"/>
            </w:pPr>
            <w:r>
              <w:t>Czas przełączenia maksymalnie 4 ms</w:t>
            </w:r>
          </w:p>
          <w:p w:rsidR="001C45FF" w:rsidRDefault="001C45FF" w:rsidP="00B870D1">
            <w:pPr>
              <w:spacing w:before="54"/>
              <w:ind w:right="305"/>
            </w:pPr>
          </w:p>
        </w:tc>
        <w:tc>
          <w:tcPr>
            <w:tcW w:w="6485" w:type="dxa"/>
          </w:tcPr>
          <w:p w:rsidR="001C45FF" w:rsidRDefault="001C45FF" w:rsidP="00B870D1">
            <w:pPr>
              <w:spacing w:before="54"/>
              <w:ind w:right="305"/>
            </w:pPr>
          </w:p>
        </w:tc>
      </w:tr>
      <w:tr w:rsidR="001C45FF" w:rsidTr="001C45FF">
        <w:trPr>
          <w:trHeight w:val="312"/>
        </w:trPr>
        <w:tc>
          <w:tcPr>
            <w:tcW w:w="6485" w:type="dxa"/>
          </w:tcPr>
          <w:p w:rsidR="001C45FF" w:rsidRDefault="001C45FF" w:rsidP="00B870D1">
            <w:pPr>
              <w:spacing w:before="54"/>
              <w:ind w:right="305"/>
            </w:pPr>
            <w:r>
              <w:t>Czas ładowania do poziomu 90% maksymalnie  8 godz.</w:t>
            </w:r>
          </w:p>
        </w:tc>
        <w:tc>
          <w:tcPr>
            <w:tcW w:w="6485" w:type="dxa"/>
          </w:tcPr>
          <w:p w:rsidR="001C45FF" w:rsidRDefault="001C45FF" w:rsidP="00B870D1">
            <w:pPr>
              <w:spacing w:before="54"/>
              <w:ind w:right="305"/>
            </w:pPr>
          </w:p>
        </w:tc>
      </w:tr>
      <w:tr w:rsidR="001C45FF" w:rsidTr="001C45FF">
        <w:trPr>
          <w:trHeight w:val="156"/>
        </w:trPr>
        <w:tc>
          <w:tcPr>
            <w:tcW w:w="6485" w:type="dxa"/>
          </w:tcPr>
          <w:p w:rsidR="001C45FF" w:rsidRDefault="001C45FF" w:rsidP="00557D9A">
            <w:pPr>
              <w:spacing w:before="54"/>
              <w:ind w:right="305"/>
            </w:pPr>
            <w:r>
              <w:t>Akumulator min. 8  x 12V/9Ah</w:t>
            </w:r>
          </w:p>
        </w:tc>
        <w:tc>
          <w:tcPr>
            <w:tcW w:w="6485" w:type="dxa"/>
          </w:tcPr>
          <w:p w:rsidR="001C45FF" w:rsidRDefault="001C45FF" w:rsidP="00557D9A">
            <w:pPr>
              <w:spacing w:before="54"/>
              <w:ind w:right="305"/>
            </w:pPr>
          </w:p>
        </w:tc>
      </w:tr>
      <w:tr w:rsidR="001C45FF" w:rsidTr="001C45FF">
        <w:trPr>
          <w:trHeight w:val="167"/>
        </w:trPr>
        <w:tc>
          <w:tcPr>
            <w:tcW w:w="6485" w:type="dxa"/>
          </w:tcPr>
          <w:p w:rsidR="001C45FF" w:rsidRDefault="001C45FF" w:rsidP="00B870D1">
            <w:pPr>
              <w:spacing w:before="54"/>
              <w:ind w:right="305"/>
            </w:pPr>
            <w:r>
              <w:t>Liczba wyjść 6 szt. IEC-320 C13</w:t>
            </w:r>
          </w:p>
        </w:tc>
        <w:tc>
          <w:tcPr>
            <w:tcW w:w="6485" w:type="dxa"/>
          </w:tcPr>
          <w:p w:rsidR="001C45FF" w:rsidRDefault="001C45FF" w:rsidP="00B870D1">
            <w:pPr>
              <w:spacing w:before="54"/>
              <w:ind w:right="305"/>
            </w:pPr>
          </w:p>
        </w:tc>
      </w:tr>
      <w:tr w:rsidR="001C45FF" w:rsidTr="001C45FF">
        <w:trPr>
          <w:trHeight w:val="449"/>
        </w:trPr>
        <w:tc>
          <w:tcPr>
            <w:tcW w:w="6485" w:type="dxa"/>
          </w:tcPr>
          <w:p w:rsidR="001C45FF" w:rsidRDefault="001C45FF" w:rsidP="00B870D1">
            <w:pPr>
              <w:spacing w:before="54"/>
              <w:ind w:right="305"/>
            </w:pPr>
            <w:r>
              <w:t xml:space="preserve">Min. Bezpiecznik topikowy Przeciwprzepięciowe Ochrona </w:t>
            </w:r>
            <w:proofErr w:type="spellStart"/>
            <w:r>
              <w:t>przeciwprzeciążeniowa</w:t>
            </w:r>
            <w:proofErr w:type="spellEnd"/>
            <w:r>
              <w:t xml:space="preserve"> Wyłącznik EPO (</w:t>
            </w:r>
            <w:proofErr w:type="spellStart"/>
            <w:r>
              <w:t>Emergency</w:t>
            </w:r>
            <w:proofErr w:type="spellEnd"/>
            <w:r>
              <w:t xml:space="preserve"> </w:t>
            </w:r>
            <w:proofErr w:type="spellStart"/>
            <w:r>
              <w:t>power</w:t>
            </w:r>
            <w:proofErr w:type="spellEnd"/>
            <w:r>
              <w:t xml:space="preserve"> off) Filtr Ethernet</w:t>
            </w:r>
          </w:p>
        </w:tc>
        <w:tc>
          <w:tcPr>
            <w:tcW w:w="6485" w:type="dxa"/>
          </w:tcPr>
          <w:p w:rsidR="001C45FF" w:rsidRDefault="001C45FF" w:rsidP="00B870D1">
            <w:pPr>
              <w:spacing w:before="54"/>
              <w:ind w:right="305"/>
            </w:pPr>
          </w:p>
        </w:tc>
      </w:tr>
      <w:tr w:rsidR="001C45FF" w:rsidTr="001C45FF">
        <w:trPr>
          <w:trHeight w:val="449"/>
        </w:trPr>
        <w:tc>
          <w:tcPr>
            <w:tcW w:w="6485" w:type="dxa"/>
          </w:tcPr>
          <w:p w:rsidR="001C45FF" w:rsidRDefault="001C45FF" w:rsidP="00B870D1">
            <w:pPr>
              <w:spacing w:before="54"/>
              <w:ind w:right="305"/>
            </w:pPr>
            <w:r>
              <w:t xml:space="preserve">Wyświetlacz LCD: tryb pracy, poziom ładowania baterii, poziom napięcia we/wy, wskaźnik przeciążenia, Sygnalizacja dźwiękowa </w:t>
            </w:r>
          </w:p>
        </w:tc>
        <w:tc>
          <w:tcPr>
            <w:tcW w:w="6485" w:type="dxa"/>
          </w:tcPr>
          <w:p w:rsidR="001C45FF" w:rsidRDefault="001C45FF" w:rsidP="00B870D1">
            <w:pPr>
              <w:spacing w:before="54"/>
              <w:ind w:right="305"/>
            </w:pPr>
          </w:p>
        </w:tc>
      </w:tr>
      <w:tr w:rsidR="001C45FF" w:rsidTr="001C45FF">
        <w:trPr>
          <w:trHeight w:val="741"/>
        </w:trPr>
        <w:tc>
          <w:tcPr>
            <w:tcW w:w="6485" w:type="dxa"/>
            <w:tcBorders>
              <w:bottom w:val="single" w:sz="4" w:space="0" w:color="auto"/>
            </w:tcBorders>
          </w:tcPr>
          <w:p w:rsidR="001C45FF" w:rsidRDefault="001C45FF" w:rsidP="004B5825">
            <w:pPr>
              <w:tabs>
                <w:tab w:val="left" w:pos="417"/>
              </w:tabs>
              <w:spacing w:before="54"/>
              <w:ind w:right="305"/>
            </w:pPr>
            <w:r>
              <w:t>Automatyczny regulator napięcia AVR Funkcja "zimnego startu" Współpraca z agregatami prądotwórczymi Zdalne zarządzanie – dedykowana aplikacja w zestawie Wbudowany filtr EMI, Port komunikacyjny USB/RS-232</w:t>
            </w:r>
          </w:p>
        </w:tc>
        <w:tc>
          <w:tcPr>
            <w:tcW w:w="6485" w:type="dxa"/>
            <w:tcBorders>
              <w:bottom w:val="single" w:sz="4" w:space="0" w:color="auto"/>
            </w:tcBorders>
          </w:tcPr>
          <w:p w:rsidR="001C45FF" w:rsidRDefault="001C45FF" w:rsidP="004B5825">
            <w:pPr>
              <w:tabs>
                <w:tab w:val="left" w:pos="417"/>
              </w:tabs>
              <w:spacing w:before="54"/>
              <w:ind w:right="305"/>
            </w:pPr>
          </w:p>
        </w:tc>
      </w:tr>
      <w:tr w:rsidR="001C45FF" w:rsidTr="001C45FF">
        <w:trPr>
          <w:trHeight w:val="647"/>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B870D1">
            <w:pPr>
              <w:spacing w:before="54"/>
              <w:ind w:right="305"/>
            </w:pPr>
            <w:r>
              <w:t>Co najmniej 12 miesięcy –, świadczona na miejscu u klienta z czasem reakcji serwisu w miejscu instalacji maksymalnie do 4 godzin roboczych .</w:t>
            </w:r>
          </w:p>
        </w:tc>
        <w:tc>
          <w:tcPr>
            <w:tcW w:w="6485" w:type="dxa"/>
            <w:tcBorders>
              <w:top w:val="single" w:sz="4" w:space="0" w:color="auto"/>
              <w:left w:val="single" w:sz="4" w:space="0" w:color="auto"/>
              <w:bottom w:val="single" w:sz="4" w:space="0" w:color="auto"/>
              <w:right w:val="single" w:sz="4" w:space="0" w:color="auto"/>
            </w:tcBorders>
          </w:tcPr>
          <w:p w:rsidR="001C45FF" w:rsidRDefault="001C45FF" w:rsidP="00B870D1">
            <w:pPr>
              <w:spacing w:before="54"/>
              <w:ind w:right="305"/>
            </w:pPr>
          </w:p>
        </w:tc>
      </w:tr>
      <w:tr w:rsidR="001C45FF" w:rsidTr="001C45FF">
        <w:trPr>
          <w:trHeight w:val="326"/>
        </w:trPr>
        <w:tc>
          <w:tcPr>
            <w:tcW w:w="6485" w:type="dxa"/>
            <w:tcBorders>
              <w:top w:val="single" w:sz="4" w:space="0" w:color="auto"/>
              <w:left w:val="single" w:sz="4" w:space="0" w:color="auto"/>
              <w:bottom w:val="single" w:sz="4" w:space="0" w:color="auto"/>
              <w:right w:val="single" w:sz="4" w:space="0" w:color="auto"/>
            </w:tcBorders>
          </w:tcPr>
          <w:p w:rsidR="001C45FF" w:rsidRDefault="001C45FF" w:rsidP="00597764">
            <w:pPr>
              <w:spacing w:before="54"/>
              <w:ind w:right="305"/>
            </w:pPr>
            <w:r w:rsidRPr="001744E5">
              <w:rPr>
                <w:color w:val="000000"/>
              </w:rPr>
              <w:t>Muszą być fabrycznie nowe, nieużywane i wyprodukowane nie wcześniej niż 2022 r.</w:t>
            </w:r>
          </w:p>
        </w:tc>
        <w:tc>
          <w:tcPr>
            <w:tcW w:w="6485" w:type="dxa"/>
            <w:tcBorders>
              <w:top w:val="single" w:sz="4" w:space="0" w:color="auto"/>
              <w:left w:val="single" w:sz="4" w:space="0" w:color="auto"/>
              <w:bottom w:val="single" w:sz="4" w:space="0" w:color="auto"/>
              <w:right w:val="single" w:sz="4" w:space="0" w:color="auto"/>
            </w:tcBorders>
          </w:tcPr>
          <w:p w:rsidR="001C45FF" w:rsidRPr="001744E5" w:rsidRDefault="001C45FF" w:rsidP="00597764">
            <w:pPr>
              <w:spacing w:before="54"/>
              <w:ind w:right="305"/>
              <w:rPr>
                <w:color w:val="000000"/>
              </w:rPr>
            </w:pPr>
          </w:p>
        </w:tc>
      </w:tr>
    </w:tbl>
    <w:p w:rsidR="00B03E73" w:rsidRDefault="00B03E73">
      <w:pPr>
        <w:pStyle w:val="Akapitzlist"/>
        <w:spacing w:before="54"/>
        <w:ind w:left="1080" w:right="305"/>
        <w:rPr>
          <w:b/>
        </w:rPr>
      </w:pPr>
    </w:p>
    <w:p w:rsidR="00D900F7" w:rsidRDefault="00D900F7" w:rsidP="00D900F7">
      <w:pPr>
        <w:spacing w:line="276" w:lineRule="auto"/>
        <w:ind w:right="-43"/>
        <w:jc w:val="both"/>
        <w:rPr>
          <w:sz w:val="20"/>
          <w:szCs w:val="20"/>
          <w:u w:val="single"/>
        </w:rPr>
      </w:pPr>
      <w:r>
        <w:rPr>
          <w:sz w:val="20"/>
          <w:szCs w:val="20"/>
          <w:u w:val="single"/>
        </w:rPr>
        <w:t xml:space="preserve">UWAGA </w:t>
      </w:r>
    </w:p>
    <w:p w:rsidR="004D5287" w:rsidRDefault="00D900F7" w:rsidP="00D900F7">
      <w:pPr>
        <w:spacing w:line="276" w:lineRule="auto"/>
        <w:ind w:right="-43"/>
        <w:jc w:val="both"/>
        <w:rPr>
          <w:rFonts w:eastAsia="Calibri"/>
          <w:sz w:val="20"/>
          <w:szCs w:val="20"/>
        </w:rPr>
      </w:pPr>
      <w:r>
        <w:rPr>
          <w:rFonts w:eastAsia="Calibri"/>
          <w:sz w:val="20"/>
          <w:szCs w:val="20"/>
        </w:rPr>
        <w:lastRenderedPageBreak/>
        <w:t>Zamawiający dopuszcza oferowanie materiałów lub rozwiązań równoważnych, pod warunkiem, że zagwarantują one wykonanie zamówienia w zgodzie z treścią zapytania ofertowego oraz zapewnią uzyskanie parametrów technicznych i użytkowych nie gorszych od założonych w wyżej wymienionych dokumentach. Wykonawca, który powołuje się na rozwiązania równoważne opisywane przez Zamawiającego, jest obowiązany wykazać, że oferowane przez niego dostawy spełniają wymagania określone przez Zamawiającego. W takiej sytuacji, na Wykonawcy ciąży obowiązek każdorazowego przedłożenia Zamawiającemu stosownych dokumentów, stwierdzających, że proponowane materiały, dostawy i technologia zamienne spełniają (nie są gorsze) warunki/parametry techniczne i użytkowe zawarte w dokumentacji postępowania. Obowiązek udowodnienia równoważności powiązań technicznych i użytkowych leży wyłącznie po stronie Wykonawcy. We wszystkich przypadkach wymagania techniczne mają pierwszeństwo przed standardami producenta.</w:t>
      </w:r>
    </w:p>
    <w:p w:rsidR="001C45FF" w:rsidRDefault="001C45FF" w:rsidP="00D900F7">
      <w:pPr>
        <w:spacing w:line="276" w:lineRule="auto"/>
        <w:ind w:right="-43"/>
        <w:jc w:val="both"/>
        <w:rPr>
          <w:rFonts w:eastAsia="Calibri"/>
          <w:sz w:val="20"/>
          <w:szCs w:val="20"/>
        </w:rPr>
      </w:pPr>
    </w:p>
    <w:p w:rsidR="001C45FF" w:rsidRPr="0076045F" w:rsidRDefault="001C45FF" w:rsidP="001C45FF">
      <w:pPr>
        <w:spacing w:before="54"/>
        <w:ind w:left="5760" w:right="305"/>
        <w:jc w:val="center"/>
        <w:rPr>
          <w:b/>
          <w:sz w:val="20"/>
          <w:szCs w:val="20"/>
        </w:rPr>
      </w:pPr>
      <w:r w:rsidRPr="0076045F">
        <w:rPr>
          <w:b/>
          <w:sz w:val="20"/>
          <w:szCs w:val="20"/>
        </w:rPr>
        <w:t>…………………………………</w:t>
      </w:r>
      <w:r w:rsidRPr="0076045F">
        <w:rPr>
          <w:b/>
          <w:sz w:val="20"/>
          <w:szCs w:val="20"/>
        </w:rPr>
        <w:br/>
      </w:r>
      <w:r w:rsidRPr="0076045F">
        <w:rPr>
          <w:i/>
          <w:sz w:val="20"/>
          <w:szCs w:val="20"/>
        </w:rPr>
        <w:t>(podpis Wykonawcy)</w:t>
      </w:r>
    </w:p>
    <w:p w:rsidR="001C45FF" w:rsidRPr="00D900F7" w:rsidRDefault="001C45FF" w:rsidP="00D900F7">
      <w:pPr>
        <w:spacing w:line="276" w:lineRule="auto"/>
        <w:ind w:right="-43"/>
        <w:jc w:val="both"/>
        <w:rPr>
          <w:rFonts w:eastAsia="Calibri"/>
          <w:sz w:val="20"/>
          <w:szCs w:val="20"/>
        </w:rPr>
      </w:pPr>
      <w:bookmarkStart w:id="0" w:name="_GoBack"/>
      <w:bookmarkEnd w:id="0"/>
    </w:p>
    <w:sectPr w:rsidR="001C45FF" w:rsidRPr="00D900F7" w:rsidSect="001C45FF">
      <w:pgSz w:w="16838" w:h="11906" w:orient="landscape"/>
      <w:pgMar w:top="900" w:right="2140" w:bottom="1020" w:left="1280" w:header="1174" w:footer="0" w:gutter="0"/>
      <w:cols w:space="708"/>
      <w:formProt w:val="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213" w:rsidRDefault="00144213">
      <w:r>
        <w:separator/>
      </w:r>
    </w:p>
  </w:endnote>
  <w:endnote w:type="continuationSeparator" w:id="0">
    <w:p w:rsidR="00144213" w:rsidRDefault="0014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
    <w:altName w:val="Times New Roman"/>
    <w:charset w:val="00"/>
    <w:family w:val="auto"/>
    <w:pitch w:val="variable"/>
    <w:sig w:usb0="00000001" w:usb1="5000217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213" w:rsidRDefault="00144213">
      <w:r>
        <w:separator/>
      </w:r>
    </w:p>
  </w:footnote>
  <w:footnote w:type="continuationSeparator" w:id="0">
    <w:p w:rsidR="00144213" w:rsidRDefault="00144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2C1C"/>
    <w:multiLevelType w:val="multilevel"/>
    <w:tmpl w:val="F12850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D81FA9"/>
    <w:multiLevelType w:val="multilevel"/>
    <w:tmpl w:val="C0BC87CA"/>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681668"/>
    <w:multiLevelType w:val="singleLevel"/>
    <w:tmpl w:val="0415000F"/>
    <w:lvl w:ilvl="0">
      <w:start w:val="1"/>
      <w:numFmt w:val="decimal"/>
      <w:lvlText w:val="%1."/>
      <w:lvlJc w:val="left"/>
      <w:pPr>
        <w:ind w:left="720" w:hanging="360"/>
      </w:pPr>
    </w:lvl>
  </w:abstractNum>
  <w:abstractNum w:abstractNumId="3">
    <w:nsid w:val="0F736111"/>
    <w:multiLevelType w:val="multilevel"/>
    <w:tmpl w:val="2EAE30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B3565B3"/>
    <w:multiLevelType w:val="multilevel"/>
    <w:tmpl w:val="2EAE30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F88073E"/>
    <w:multiLevelType w:val="multilevel"/>
    <w:tmpl w:val="2EAE30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52A"/>
    <w:rsid w:val="00050525"/>
    <w:rsid w:val="0013712A"/>
    <w:rsid w:val="00144213"/>
    <w:rsid w:val="00163C60"/>
    <w:rsid w:val="001C45FF"/>
    <w:rsid w:val="002E2E3C"/>
    <w:rsid w:val="0030499E"/>
    <w:rsid w:val="004A5B59"/>
    <w:rsid w:val="004B4A82"/>
    <w:rsid w:val="004B5825"/>
    <w:rsid w:val="004D5287"/>
    <w:rsid w:val="00506362"/>
    <w:rsid w:val="00557D9A"/>
    <w:rsid w:val="00597764"/>
    <w:rsid w:val="00715D49"/>
    <w:rsid w:val="00744031"/>
    <w:rsid w:val="007D3F8B"/>
    <w:rsid w:val="008210CF"/>
    <w:rsid w:val="00834BC5"/>
    <w:rsid w:val="009B4934"/>
    <w:rsid w:val="00A17B5B"/>
    <w:rsid w:val="00B03E73"/>
    <w:rsid w:val="00B63B05"/>
    <w:rsid w:val="00CB673A"/>
    <w:rsid w:val="00CC3ABE"/>
    <w:rsid w:val="00D705F1"/>
    <w:rsid w:val="00D900F7"/>
    <w:rsid w:val="00DA052A"/>
    <w:rsid w:val="00E07AA4"/>
    <w:rsid w:val="00EA7244"/>
    <w:rsid w:val="00FC0809"/>
    <w:rsid w:val="00FF789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A5B59"/>
    <w:pPr>
      <w:widowControl w:val="0"/>
    </w:pPr>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601A01"/>
    <w:rPr>
      <w:rFonts w:ascii="Times New Roman" w:eastAsia="Times New Roman" w:hAnsi="Times New Roman" w:cs="Times New Roman"/>
      <w:lang w:val="pl-PL"/>
    </w:rPr>
  </w:style>
  <w:style w:type="character" w:customStyle="1" w:styleId="StopkaZnak">
    <w:name w:val="Stopka Znak"/>
    <w:basedOn w:val="Domylnaczcionkaakapitu"/>
    <w:link w:val="Stopka1"/>
    <w:uiPriority w:val="99"/>
    <w:semiHidden/>
    <w:qFormat/>
    <w:rsid w:val="00601A01"/>
    <w:rPr>
      <w:rFonts w:ascii="Times New Roman" w:eastAsia="Times New Roman" w:hAnsi="Times New Roman" w:cs="Times New Roman"/>
      <w:lang w:val="pl-PL"/>
    </w:rPr>
  </w:style>
  <w:style w:type="character" w:customStyle="1" w:styleId="TekstdymkaZnak">
    <w:name w:val="Tekst dymka Znak"/>
    <w:basedOn w:val="Domylnaczcionkaakapitu"/>
    <w:link w:val="Tekstdymka"/>
    <w:uiPriority w:val="99"/>
    <w:semiHidden/>
    <w:qFormat/>
    <w:rsid w:val="00601A01"/>
    <w:rPr>
      <w:rFonts w:ascii="Tahoma" w:eastAsia="Times New Roman" w:hAnsi="Tahoma" w:cs="Tahoma"/>
      <w:sz w:val="16"/>
      <w:szCs w:val="16"/>
      <w:lang w:val="pl-PL"/>
    </w:rPr>
  </w:style>
  <w:style w:type="character" w:customStyle="1" w:styleId="czeinternetowe">
    <w:name w:val="Łącze internetowe"/>
    <w:basedOn w:val="Domylnaczcionkaakapitu"/>
    <w:uiPriority w:val="99"/>
    <w:unhideWhenUsed/>
    <w:rsid w:val="00240ACB"/>
    <w:rPr>
      <w:color w:val="0000FF" w:themeColor="hyperlink"/>
      <w:u w:val="single"/>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uiPriority w:val="1"/>
    <w:qFormat/>
    <w:rsid w:val="004A7FEA"/>
    <w:pPr>
      <w:spacing w:before="4"/>
    </w:pPr>
  </w:style>
  <w:style w:type="paragraph" w:styleId="Lista">
    <w:name w:val="List"/>
    <w:basedOn w:val="Tekstpodstawowy"/>
    <w:rsid w:val="00BE3727"/>
    <w:rPr>
      <w:rFonts w:cs="Arial"/>
    </w:rPr>
  </w:style>
  <w:style w:type="paragraph" w:customStyle="1" w:styleId="Legenda1">
    <w:name w:val="Legenda1"/>
    <w:basedOn w:val="Normalny"/>
    <w:qFormat/>
    <w:rsid w:val="00BE3727"/>
    <w:pPr>
      <w:suppressLineNumbers/>
      <w:spacing w:before="120" w:after="120"/>
    </w:pPr>
    <w:rPr>
      <w:rFonts w:cs="Arial"/>
      <w:i/>
      <w:iCs/>
      <w:sz w:val="24"/>
      <w:szCs w:val="24"/>
    </w:rPr>
  </w:style>
  <w:style w:type="paragraph" w:customStyle="1" w:styleId="Indeks">
    <w:name w:val="Indeks"/>
    <w:basedOn w:val="Normalny"/>
    <w:qFormat/>
    <w:rsid w:val="00BE3727"/>
    <w:pPr>
      <w:suppressLineNumbers/>
    </w:pPr>
    <w:rPr>
      <w:rFonts w:cs="Arial"/>
    </w:rPr>
  </w:style>
  <w:style w:type="paragraph" w:customStyle="1" w:styleId="Gwkaistopka">
    <w:name w:val="Główka i stopka"/>
    <w:basedOn w:val="Normalny"/>
    <w:qFormat/>
    <w:rsid w:val="00BE3727"/>
  </w:style>
  <w:style w:type="paragraph" w:customStyle="1" w:styleId="Nagwek1">
    <w:name w:val="Nagłówek1"/>
    <w:basedOn w:val="Normalny"/>
    <w:next w:val="Tekstpodstawowy"/>
    <w:uiPriority w:val="99"/>
    <w:unhideWhenUsed/>
    <w:rsid w:val="00601A01"/>
    <w:pPr>
      <w:tabs>
        <w:tab w:val="center" w:pos="4536"/>
        <w:tab w:val="right" w:pos="9072"/>
      </w:tabs>
    </w:pPr>
  </w:style>
  <w:style w:type="paragraph" w:customStyle="1" w:styleId="Nagwek11">
    <w:name w:val="Nagłówek 11"/>
    <w:basedOn w:val="Normalny"/>
    <w:uiPriority w:val="1"/>
    <w:qFormat/>
    <w:rsid w:val="004A7FEA"/>
    <w:pPr>
      <w:spacing w:before="112"/>
      <w:ind w:left="876" w:hanging="361"/>
      <w:outlineLvl w:val="1"/>
    </w:pPr>
    <w:rPr>
      <w:b/>
      <w:bCs/>
      <w:sz w:val="24"/>
      <w:szCs w:val="24"/>
    </w:rPr>
  </w:style>
  <w:style w:type="paragraph" w:styleId="Tytu">
    <w:name w:val="Title"/>
    <w:basedOn w:val="Normalny"/>
    <w:uiPriority w:val="1"/>
    <w:qFormat/>
    <w:rsid w:val="004A7FEA"/>
    <w:pPr>
      <w:ind w:left="422" w:right="314"/>
      <w:jc w:val="center"/>
    </w:pPr>
    <w:rPr>
      <w:b/>
      <w:bCs/>
      <w:sz w:val="32"/>
      <w:szCs w:val="32"/>
    </w:rPr>
  </w:style>
  <w:style w:type="paragraph" w:styleId="Akapitzlist">
    <w:name w:val="List Paragraph"/>
    <w:basedOn w:val="Normalny"/>
    <w:link w:val="AkapitzlistZnak"/>
    <w:uiPriority w:val="34"/>
    <w:qFormat/>
    <w:rsid w:val="004A7FEA"/>
    <w:pPr>
      <w:spacing w:before="96"/>
      <w:ind w:left="232"/>
    </w:pPr>
  </w:style>
  <w:style w:type="paragraph" w:customStyle="1" w:styleId="TableParagraph">
    <w:name w:val="Table Paragraph"/>
    <w:basedOn w:val="Normalny"/>
    <w:uiPriority w:val="1"/>
    <w:qFormat/>
    <w:rsid w:val="004A7FEA"/>
  </w:style>
  <w:style w:type="paragraph" w:customStyle="1" w:styleId="Stopka1">
    <w:name w:val="Stopka1"/>
    <w:basedOn w:val="Normalny"/>
    <w:link w:val="StopkaZnak"/>
    <w:uiPriority w:val="99"/>
    <w:semiHidden/>
    <w:unhideWhenUsed/>
    <w:rsid w:val="00601A01"/>
    <w:pPr>
      <w:tabs>
        <w:tab w:val="center" w:pos="4536"/>
        <w:tab w:val="right" w:pos="9072"/>
      </w:tabs>
    </w:pPr>
  </w:style>
  <w:style w:type="paragraph" w:styleId="Tekstdymka">
    <w:name w:val="Balloon Text"/>
    <w:basedOn w:val="Normalny"/>
    <w:link w:val="TekstdymkaZnak"/>
    <w:uiPriority w:val="99"/>
    <w:semiHidden/>
    <w:unhideWhenUsed/>
    <w:qFormat/>
    <w:rsid w:val="00601A01"/>
    <w:rPr>
      <w:rFonts w:ascii="Tahoma" w:hAnsi="Tahoma" w:cs="Tahoma"/>
      <w:sz w:val="16"/>
      <w:szCs w:val="16"/>
    </w:rPr>
  </w:style>
  <w:style w:type="paragraph" w:customStyle="1" w:styleId="Standard">
    <w:name w:val="Standard"/>
    <w:qFormat/>
    <w:rsid w:val="00EF0454"/>
    <w:pPr>
      <w:textAlignment w:val="baseline"/>
    </w:pPr>
    <w:rPr>
      <w:rFonts w:ascii="Times New Roman" w:eastAsia="SimSun" w:hAnsi="Times New Roman" w:cs="Times New Roman"/>
      <w:kern w:val="2"/>
      <w:sz w:val="24"/>
      <w:szCs w:val="24"/>
      <w:lang w:val="pl-PL"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customStyle="1" w:styleId="TableNormal">
    <w:name w:val="Table Normal"/>
    <w:uiPriority w:val="2"/>
    <w:semiHidden/>
    <w:unhideWhenUsed/>
    <w:qFormat/>
    <w:rsid w:val="004A7FEA"/>
    <w:tblPr>
      <w:tblCellMar>
        <w:top w:w="0" w:type="dxa"/>
        <w:left w:w="0" w:type="dxa"/>
        <w:bottom w:w="0" w:type="dxa"/>
        <w:right w:w="0" w:type="dxa"/>
      </w:tblCellMar>
    </w:tblPr>
  </w:style>
  <w:style w:type="table" w:styleId="Tabela-Siatka">
    <w:name w:val="Table Grid"/>
    <w:basedOn w:val="Standardowy"/>
    <w:uiPriority w:val="59"/>
    <w:rsid w:val="004344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1"/>
    <w:uiPriority w:val="99"/>
    <w:unhideWhenUsed/>
    <w:rsid w:val="00EA7244"/>
    <w:pPr>
      <w:tabs>
        <w:tab w:val="center" w:pos="4536"/>
        <w:tab w:val="right" w:pos="9072"/>
      </w:tabs>
    </w:pPr>
  </w:style>
  <w:style w:type="character" w:customStyle="1" w:styleId="StopkaZnak1">
    <w:name w:val="Stopka Znak1"/>
    <w:basedOn w:val="Domylnaczcionkaakapitu"/>
    <w:link w:val="Stopka"/>
    <w:uiPriority w:val="99"/>
    <w:rsid w:val="00EA7244"/>
    <w:rPr>
      <w:rFonts w:ascii="Times New Roman" w:eastAsia="Times New Roman" w:hAnsi="Times New Roman" w:cs="Times New Roman"/>
      <w:lang w:val="pl-PL"/>
    </w:rPr>
  </w:style>
  <w:style w:type="character" w:customStyle="1" w:styleId="AkapitzlistZnak">
    <w:name w:val="Akapit z listą Znak"/>
    <w:link w:val="Akapitzlist"/>
    <w:uiPriority w:val="34"/>
    <w:qFormat/>
    <w:rsid w:val="00FF789C"/>
    <w:rPr>
      <w:rFonts w:ascii="Times New Roman" w:eastAsia="Times New Roman" w:hAnsi="Times New Roman" w:cs="Times New Roman"/>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4A5B59"/>
    <w:pPr>
      <w:widowControl w:val="0"/>
    </w:pPr>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601A01"/>
    <w:rPr>
      <w:rFonts w:ascii="Times New Roman" w:eastAsia="Times New Roman" w:hAnsi="Times New Roman" w:cs="Times New Roman"/>
      <w:lang w:val="pl-PL"/>
    </w:rPr>
  </w:style>
  <w:style w:type="character" w:customStyle="1" w:styleId="StopkaZnak">
    <w:name w:val="Stopka Znak"/>
    <w:basedOn w:val="Domylnaczcionkaakapitu"/>
    <w:link w:val="Stopka1"/>
    <w:uiPriority w:val="99"/>
    <w:semiHidden/>
    <w:qFormat/>
    <w:rsid w:val="00601A01"/>
    <w:rPr>
      <w:rFonts w:ascii="Times New Roman" w:eastAsia="Times New Roman" w:hAnsi="Times New Roman" w:cs="Times New Roman"/>
      <w:lang w:val="pl-PL"/>
    </w:rPr>
  </w:style>
  <w:style w:type="character" w:customStyle="1" w:styleId="TekstdymkaZnak">
    <w:name w:val="Tekst dymka Znak"/>
    <w:basedOn w:val="Domylnaczcionkaakapitu"/>
    <w:link w:val="Tekstdymka"/>
    <w:uiPriority w:val="99"/>
    <w:semiHidden/>
    <w:qFormat/>
    <w:rsid w:val="00601A01"/>
    <w:rPr>
      <w:rFonts w:ascii="Tahoma" w:eastAsia="Times New Roman" w:hAnsi="Tahoma" w:cs="Tahoma"/>
      <w:sz w:val="16"/>
      <w:szCs w:val="16"/>
      <w:lang w:val="pl-PL"/>
    </w:rPr>
  </w:style>
  <w:style w:type="character" w:customStyle="1" w:styleId="czeinternetowe">
    <w:name w:val="Łącze internetowe"/>
    <w:basedOn w:val="Domylnaczcionkaakapitu"/>
    <w:uiPriority w:val="99"/>
    <w:unhideWhenUsed/>
    <w:rsid w:val="00240ACB"/>
    <w:rPr>
      <w:color w:val="0000FF" w:themeColor="hyperlink"/>
      <w:u w:val="single"/>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uiPriority w:val="1"/>
    <w:qFormat/>
    <w:rsid w:val="004A7FEA"/>
    <w:pPr>
      <w:spacing w:before="4"/>
    </w:pPr>
  </w:style>
  <w:style w:type="paragraph" w:styleId="Lista">
    <w:name w:val="List"/>
    <w:basedOn w:val="Tekstpodstawowy"/>
    <w:rsid w:val="00BE3727"/>
    <w:rPr>
      <w:rFonts w:cs="Arial"/>
    </w:rPr>
  </w:style>
  <w:style w:type="paragraph" w:customStyle="1" w:styleId="Legenda1">
    <w:name w:val="Legenda1"/>
    <w:basedOn w:val="Normalny"/>
    <w:qFormat/>
    <w:rsid w:val="00BE3727"/>
    <w:pPr>
      <w:suppressLineNumbers/>
      <w:spacing w:before="120" w:after="120"/>
    </w:pPr>
    <w:rPr>
      <w:rFonts w:cs="Arial"/>
      <w:i/>
      <w:iCs/>
      <w:sz w:val="24"/>
      <w:szCs w:val="24"/>
    </w:rPr>
  </w:style>
  <w:style w:type="paragraph" w:customStyle="1" w:styleId="Indeks">
    <w:name w:val="Indeks"/>
    <w:basedOn w:val="Normalny"/>
    <w:qFormat/>
    <w:rsid w:val="00BE3727"/>
    <w:pPr>
      <w:suppressLineNumbers/>
    </w:pPr>
    <w:rPr>
      <w:rFonts w:cs="Arial"/>
    </w:rPr>
  </w:style>
  <w:style w:type="paragraph" w:customStyle="1" w:styleId="Gwkaistopka">
    <w:name w:val="Główka i stopka"/>
    <w:basedOn w:val="Normalny"/>
    <w:qFormat/>
    <w:rsid w:val="00BE3727"/>
  </w:style>
  <w:style w:type="paragraph" w:customStyle="1" w:styleId="Nagwek1">
    <w:name w:val="Nagłówek1"/>
    <w:basedOn w:val="Normalny"/>
    <w:next w:val="Tekstpodstawowy"/>
    <w:uiPriority w:val="99"/>
    <w:unhideWhenUsed/>
    <w:rsid w:val="00601A01"/>
    <w:pPr>
      <w:tabs>
        <w:tab w:val="center" w:pos="4536"/>
        <w:tab w:val="right" w:pos="9072"/>
      </w:tabs>
    </w:pPr>
  </w:style>
  <w:style w:type="paragraph" w:customStyle="1" w:styleId="Nagwek11">
    <w:name w:val="Nagłówek 11"/>
    <w:basedOn w:val="Normalny"/>
    <w:uiPriority w:val="1"/>
    <w:qFormat/>
    <w:rsid w:val="004A7FEA"/>
    <w:pPr>
      <w:spacing w:before="112"/>
      <w:ind w:left="876" w:hanging="361"/>
      <w:outlineLvl w:val="1"/>
    </w:pPr>
    <w:rPr>
      <w:b/>
      <w:bCs/>
      <w:sz w:val="24"/>
      <w:szCs w:val="24"/>
    </w:rPr>
  </w:style>
  <w:style w:type="paragraph" w:styleId="Tytu">
    <w:name w:val="Title"/>
    <w:basedOn w:val="Normalny"/>
    <w:uiPriority w:val="1"/>
    <w:qFormat/>
    <w:rsid w:val="004A7FEA"/>
    <w:pPr>
      <w:ind w:left="422" w:right="314"/>
      <w:jc w:val="center"/>
    </w:pPr>
    <w:rPr>
      <w:b/>
      <w:bCs/>
      <w:sz w:val="32"/>
      <w:szCs w:val="32"/>
    </w:rPr>
  </w:style>
  <w:style w:type="paragraph" w:styleId="Akapitzlist">
    <w:name w:val="List Paragraph"/>
    <w:basedOn w:val="Normalny"/>
    <w:link w:val="AkapitzlistZnak"/>
    <w:uiPriority w:val="34"/>
    <w:qFormat/>
    <w:rsid w:val="004A7FEA"/>
    <w:pPr>
      <w:spacing w:before="96"/>
      <w:ind w:left="232"/>
    </w:pPr>
  </w:style>
  <w:style w:type="paragraph" w:customStyle="1" w:styleId="TableParagraph">
    <w:name w:val="Table Paragraph"/>
    <w:basedOn w:val="Normalny"/>
    <w:uiPriority w:val="1"/>
    <w:qFormat/>
    <w:rsid w:val="004A7FEA"/>
  </w:style>
  <w:style w:type="paragraph" w:customStyle="1" w:styleId="Stopka1">
    <w:name w:val="Stopka1"/>
    <w:basedOn w:val="Normalny"/>
    <w:link w:val="StopkaZnak"/>
    <w:uiPriority w:val="99"/>
    <w:semiHidden/>
    <w:unhideWhenUsed/>
    <w:rsid w:val="00601A01"/>
    <w:pPr>
      <w:tabs>
        <w:tab w:val="center" w:pos="4536"/>
        <w:tab w:val="right" w:pos="9072"/>
      </w:tabs>
    </w:pPr>
  </w:style>
  <w:style w:type="paragraph" w:styleId="Tekstdymka">
    <w:name w:val="Balloon Text"/>
    <w:basedOn w:val="Normalny"/>
    <w:link w:val="TekstdymkaZnak"/>
    <w:uiPriority w:val="99"/>
    <w:semiHidden/>
    <w:unhideWhenUsed/>
    <w:qFormat/>
    <w:rsid w:val="00601A01"/>
    <w:rPr>
      <w:rFonts w:ascii="Tahoma" w:hAnsi="Tahoma" w:cs="Tahoma"/>
      <w:sz w:val="16"/>
      <w:szCs w:val="16"/>
    </w:rPr>
  </w:style>
  <w:style w:type="paragraph" w:customStyle="1" w:styleId="Standard">
    <w:name w:val="Standard"/>
    <w:qFormat/>
    <w:rsid w:val="00EF0454"/>
    <w:pPr>
      <w:textAlignment w:val="baseline"/>
    </w:pPr>
    <w:rPr>
      <w:rFonts w:ascii="Times New Roman" w:eastAsia="SimSun" w:hAnsi="Times New Roman" w:cs="Times New Roman"/>
      <w:kern w:val="2"/>
      <w:sz w:val="24"/>
      <w:szCs w:val="24"/>
      <w:lang w:val="pl-PL"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customStyle="1" w:styleId="TableNormal">
    <w:name w:val="Table Normal"/>
    <w:uiPriority w:val="2"/>
    <w:semiHidden/>
    <w:unhideWhenUsed/>
    <w:qFormat/>
    <w:rsid w:val="004A7FEA"/>
    <w:tblPr>
      <w:tblCellMar>
        <w:top w:w="0" w:type="dxa"/>
        <w:left w:w="0" w:type="dxa"/>
        <w:bottom w:w="0" w:type="dxa"/>
        <w:right w:w="0" w:type="dxa"/>
      </w:tblCellMar>
    </w:tblPr>
  </w:style>
  <w:style w:type="table" w:styleId="Tabela-Siatka">
    <w:name w:val="Table Grid"/>
    <w:basedOn w:val="Standardowy"/>
    <w:uiPriority w:val="59"/>
    <w:rsid w:val="004344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opka">
    <w:name w:val="footer"/>
    <w:basedOn w:val="Normalny"/>
    <w:link w:val="StopkaZnak1"/>
    <w:uiPriority w:val="99"/>
    <w:unhideWhenUsed/>
    <w:rsid w:val="00EA7244"/>
    <w:pPr>
      <w:tabs>
        <w:tab w:val="center" w:pos="4536"/>
        <w:tab w:val="right" w:pos="9072"/>
      </w:tabs>
    </w:pPr>
  </w:style>
  <w:style w:type="character" w:customStyle="1" w:styleId="StopkaZnak1">
    <w:name w:val="Stopka Znak1"/>
    <w:basedOn w:val="Domylnaczcionkaakapitu"/>
    <w:link w:val="Stopka"/>
    <w:uiPriority w:val="99"/>
    <w:rsid w:val="00EA7244"/>
    <w:rPr>
      <w:rFonts w:ascii="Times New Roman" w:eastAsia="Times New Roman" w:hAnsi="Times New Roman" w:cs="Times New Roman"/>
      <w:lang w:val="pl-PL"/>
    </w:rPr>
  </w:style>
  <w:style w:type="character" w:customStyle="1" w:styleId="AkapitzlistZnak">
    <w:name w:val="Akapit z listą Znak"/>
    <w:link w:val="Akapitzlist"/>
    <w:uiPriority w:val="34"/>
    <w:qFormat/>
    <w:rsid w:val="00FF789C"/>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888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1830</Words>
  <Characters>10981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Oznaczenie: D-1</vt:lpstr>
    </vt:vector>
  </TitlesOfParts>
  <Company>Urząd Gminy Krasnystaw</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D-1</dc:title>
  <dc:creator>LukaszG</dc:creator>
  <cp:lastModifiedBy>Małgorzata Kiendrak</cp:lastModifiedBy>
  <cp:revision>2</cp:revision>
  <dcterms:created xsi:type="dcterms:W3CDTF">2023-07-06T09:35:00Z</dcterms:created>
  <dcterms:modified xsi:type="dcterms:W3CDTF">2023-07-06T09:35:00Z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2022-01-27T00:00:00Z</vt:filetime>
  </property>
  <property fmtid="{D5CDD505-2E9C-101B-9397-08002B2CF9AE}" pid="3" name="Creator">
    <vt:lpwstr>Microsoft® Office Word 2007</vt:lpwstr>
  </property>
  <property fmtid="{D5CDD505-2E9C-101B-9397-08002B2CF9AE}" pid="4" name="LastSaved">
    <vt:filetime>2022-02-23T00:00:00Z</vt:filetime>
  </property>
</Properties>
</file>