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771" w14:textId="2600552A" w:rsidR="00E80086" w:rsidRDefault="00A24939" w:rsidP="0030427F">
      <w:pPr>
        <w:pStyle w:val="Tytu"/>
        <w:jc w:val="center"/>
      </w:pPr>
      <w:r>
        <w:t xml:space="preserve"> </w:t>
      </w:r>
      <w:r w:rsidR="0030427F">
        <w:t>Zapytanie ofertowe</w:t>
      </w:r>
    </w:p>
    <w:p w14:paraId="53B5BB42" w14:textId="77777777" w:rsidR="00BF4015" w:rsidRDefault="00BF4015" w:rsidP="00B17649">
      <w:pPr>
        <w:jc w:val="center"/>
        <w:rPr>
          <w:i/>
          <w:iCs/>
        </w:rPr>
      </w:pPr>
    </w:p>
    <w:p w14:paraId="47F16DA2" w14:textId="77777777" w:rsidR="0030427F" w:rsidRPr="0030427F" w:rsidRDefault="0030427F" w:rsidP="0030427F"/>
    <w:p w14:paraId="748E37A9" w14:textId="7BF94D8E" w:rsidR="00762745" w:rsidRDefault="00762745" w:rsidP="00FC06C8">
      <w:pPr>
        <w:pStyle w:val="Nagwek1"/>
        <w:numPr>
          <w:ilvl w:val="0"/>
          <w:numId w:val="0"/>
        </w:numPr>
        <w:ind w:left="432" w:hanging="432"/>
      </w:pPr>
      <w:r>
        <w:t>Zamawiający:</w:t>
      </w:r>
    </w:p>
    <w:p w14:paraId="207531B8" w14:textId="77777777" w:rsidR="00113E4A" w:rsidRPr="0035232F" w:rsidRDefault="00113E4A" w:rsidP="00926C1E">
      <w:r w:rsidRPr="0035232F">
        <w:t>POLGRYS Kruszywa Spółka z ograniczoną odpowiedzialnością. Sp.k. z siedzibą ul. Dominikańska 25, 35-041 Rzeszów, zarejestrowaną w Krajowym Rejestrze Sądowym prowadzonym przez Sąd Rejonowy Sąd Rejonowy w Rzeszowie, XII Wydział Gospodarczy Krajowego Rejestru Sądowego pod numerem KRS 0000789336, REGON: 180770801, NIP: 8133666794</w:t>
      </w:r>
    </w:p>
    <w:p w14:paraId="0B58FA06" w14:textId="737667B3" w:rsidR="00926C1E" w:rsidRDefault="00926C1E" w:rsidP="00926C1E">
      <w:pPr>
        <w:rPr>
          <w:b/>
          <w:bCs/>
        </w:rPr>
      </w:pPr>
      <w:r>
        <w:rPr>
          <w:b/>
          <w:bCs/>
        </w:rPr>
        <w:t>Osoba do kontaktów w sprawie zamówienia:</w:t>
      </w:r>
    </w:p>
    <w:p w14:paraId="6F7C76F8" w14:textId="2D2B0A1D" w:rsidR="00926C1E" w:rsidRDefault="00926C1E" w:rsidP="00926C1E">
      <w:r>
        <w:t>Michał Janas</w:t>
      </w:r>
      <w:r w:rsidR="00113E4A">
        <w:t xml:space="preserve"> – sprawy formalne</w:t>
      </w:r>
    </w:p>
    <w:p w14:paraId="2F35AC98" w14:textId="63880768" w:rsidR="00113E4A" w:rsidRPr="00134FCA" w:rsidRDefault="003A2EB5" w:rsidP="00926C1E">
      <w:r>
        <w:t>Bogusław Wójtowicz</w:t>
      </w:r>
      <w:r w:rsidR="00113E4A">
        <w:t xml:space="preserve"> – sprawy merytoryczne</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0EB69059" w:rsidR="0079497E" w:rsidRPr="0079497E" w:rsidRDefault="009736F3" w:rsidP="0079497E">
      <w:pPr>
        <w:spacing w:after="0"/>
        <w:rPr>
          <w:b/>
          <w:bCs/>
        </w:rPr>
      </w:pPr>
      <w:r>
        <w:rPr>
          <w:b/>
          <w:bCs/>
          <w:i/>
          <w:iCs/>
        </w:rPr>
        <w:t xml:space="preserve">Wdrożenie jednolitych standardów świadczenia usług w Interdyscyplinarnym Centrum Leczenia i Rehabilitacji w Rzeszowie </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 xml:space="preserve">Do czynności podejmowanych przez Zamawiającego i Wykonawców w postępowaniu o udzielenie zamówienia publicznego nie stosuje się przepisów ustawy </w:t>
      </w:r>
      <w:proofErr w:type="spellStart"/>
      <w:r>
        <w:t>Pzp</w:t>
      </w:r>
      <w:proofErr w:type="spellEnd"/>
      <w:r>
        <w:t>.</w:t>
      </w:r>
    </w:p>
    <w:p w14:paraId="067A41C7" w14:textId="18787689" w:rsidR="00CC6D84" w:rsidRDefault="00CC6D84" w:rsidP="00271113">
      <w:pPr>
        <w:pStyle w:val="Akapitzlist"/>
        <w:numPr>
          <w:ilvl w:val="0"/>
          <w:numId w:val="3"/>
        </w:numPr>
      </w:pPr>
      <w:r>
        <w:t xml:space="preserve">Oznaczenie postępowania: postępowanie posiada znak sprawy: </w:t>
      </w:r>
      <w:r w:rsidR="009736F3">
        <w:rPr>
          <w:b/>
          <w:bCs/>
        </w:rPr>
        <w:t>5</w:t>
      </w:r>
      <w:r w:rsidR="00347109">
        <w:rPr>
          <w:b/>
          <w:bCs/>
        </w:rPr>
        <w:t>/</w:t>
      </w:r>
      <w:r w:rsidR="004A18CF">
        <w:rPr>
          <w:b/>
          <w:bCs/>
        </w:rPr>
        <w:t>POPW/POLGRYS</w:t>
      </w:r>
      <w:r w:rsidR="004D6D0D">
        <w:t>. Zaleca się, aby</w:t>
      </w:r>
      <w:r w:rsidR="00843907">
        <w:t xml:space="preserve"> </w:t>
      </w:r>
      <w:r w:rsidR="004D6D0D">
        <w:t>W</w:t>
      </w:r>
      <w:r>
        <w:t>ykonawcy we wszelkich kontaktach z Zamawiającym powoływa</w:t>
      </w:r>
      <w:r w:rsidR="00E6278C">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57EE3E87" w:rsidR="00CE514B" w:rsidRPr="00CE514B" w:rsidRDefault="00A301ED" w:rsidP="000B739E">
      <w:r w:rsidRPr="00A301ED">
        <w:t>Postępowanie o udzielenie przedmiotowego zamówienia prowadzone jest w trybie reguły konkurencyjności</w:t>
      </w:r>
      <w:r>
        <w:t xml:space="preserve">. Wartość zamówienia przekracza </w:t>
      </w:r>
      <w:r w:rsidR="004A18CF">
        <w:t>kwotę</w:t>
      </w:r>
      <w:r>
        <w:t xml:space="preserve"> </w:t>
      </w:r>
      <w:r w:rsidR="000B739E">
        <w:t>określon</w:t>
      </w:r>
      <w:r w:rsidR="004A18CF">
        <w:t>a</w:t>
      </w:r>
      <w:r w:rsidR="000B739E">
        <w:t xml:space="preserve">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14C8B2F8" w:rsidR="00796784" w:rsidRPr="00796784" w:rsidRDefault="00796784" w:rsidP="00357BE8">
      <w:pPr>
        <w:pStyle w:val="Akapitzlist"/>
        <w:numPr>
          <w:ilvl w:val="0"/>
          <w:numId w:val="19"/>
        </w:numPr>
      </w:pPr>
      <w:r w:rsidRPr="00A477EB">
        <w:rPr>
          <w:b/>
          <w:bCs/>
        </w:rPr>
        <w:t xml:space="preserve">Rodzaj zamówienia: </w:t>
      </w:r>
      <w:r w:rsidR="00984121">
        <w:t>Usługi</w:t>
      </w:r>
    </w:p>
    <w:p w14:paraId="3BFD72D4" w14:textId="77777777" w:rsidR="00576036" w:rsidRDefault="00B95057" w:rsidP="00357BE8">
      <w:pPr>
        <w:pStyle w:val="Akapitzlist"/>
        <w:numPr>
          <w:ilvl w:val="0"/>
          <w:numId w:val="19"/>
        </w:numPr>
        <w:rPr>
          <w:b/>
          <w:bCs/>
        </w:rPr>
      </w:pPr>
      <w:r w:rsidRPr="00A477EB">
        <w:rPr>
          <w:b/>
          <w:bCs/>
        </w:rPr>
        <w:t>Kody CPV:</w:t>
      </w:r>
      <w:r w:rsidR="00576036">
        <w:rPr>
          <w:b/>
          <w:bCs/>
        </w:rPr>
        <w:t xml:space="preserve"> </w:t>
      </w:r>
    </w:p>
    <w:p w14:paraId="5F9AC43F" w14:textId="77777777" w:rsidR="00576036" w:rsidRDefault="00576036" w:rsidP="00576036">
      <w:pPr>
        <w:pStyle w:val="Akapitzlist"/>
        <w:rPr>
          <w:b/>
          <w:bCs/>
        </w:rPr>
      </w:pPr>
    </w:p>
    <w:p w14:paraId="63D4E647" w14:textId="3EE738A5" w:rsidR="00381708" w:rsidRDefault="00984121" w:rsidP="00984121">
      <w:pPr>
        <w:pStyle w:val="Akapitzlist"/>
        <w:rPr>
          <w:b/>
          <w:bCs/>
        </w:rPr>
      </w:pPr>
      <w:r w:rsidRPr="00984121">
        <w:rPr>
          <w:b/>
          <w:bCs/>
        </w:rPr>
        <w:t>79410000-1</w:t>
      </w:r>
      <w:r>
        <w:rPr>
          <w:b/>
          <w:bCs/>
        </w:rPr>
        <w:tab/>
      </w:r>
      <w:r w:rsidRPr="00984121">
        <w:rPr>
          <w:b/>
          <w:bCs/>
        </w:rPr>
        <w:t>Usługi doradcze w zakresie działalności gospodarczej i zarządzania</w:t>
      </w:r>
    </w:p>
    <w:p w14:paraId="6D40D569" w14:textId="77777777" w:rsidR="00984121" w:rsidRPr="00984121" w:rsidRDefault="00984121" w:rsidP="00984121">
      <w:pPr>
        <w:pStyle w:val="Akapitzlist"/>
        <w:rPr>
          <w:b/>
          <w:bCs/>
        </w:rPr>
      </w:pPr>
    </w:p>
    <w:p w14:paraId="42190FE3" w14:textId="09C319CE" w:rsidR="001C738D" w:rsidRDefault="00A362BD" w:rsidP="00357BE8">
      <w:pPr>
        <w:pStyle w:val="Akapitzlist"/>
        <w:numPr>
          <w:ilvl w:val="0"/>
          <w:numId w:val="19"/>
        </w:numPr>
        <w:rPr>
          <w:b/>
          <w:bCs/>
        </w:rPr>
      </w:pPr>
      <w:r w:rsidRPr="00A477EB">
        <w:rPr>
          <w:b/>
          <w:bCs/>
        </w:rPr>
        <w:t xml:space="preserve">Przedmiot zamówienia </w:t>
      </w:r>
      <w:r w:rsidR="001C738D" w:rsidRPr="00A477EB">
        <w:rPr>
          <w:b/>
          <w:bCs/>
        </w:rPr>
        <w:tab/>
      </w:r>
    </w:p>
    <w:p w14:paraId="26780CAA" w14:textId="77777777" w:rsidR="00A270F4" w:rsidRDefault="00A270F4" w:rsidP="00A270F4">
      <w:pPr>
        <w:pStyle w:val="Akapitzlist"/>
        <w:rPr>
          <w:b/>
          <w:bCs/>
        </w:rPr>
      </w:pPr>
    </w:p>
    <w:p w14:paraId="5293BB31" w14:textId="035B7F5E" w:rsidR="00B62B64" w:rsidRDefault="00BA06FD" w:rsidP="00A069DA">
      <w:pPr>
        <w:pStyle w:val="Akapitzlist"/>
      </w:pPr>
      <w:r>
        <w:t xml:space="preserve">Przedmiotem zamówienia jest </w:t>
      </w:r>
      <w:r w:rsidR="00B62B64">
        <w:t xml:space="preserve">świadczenie usług w zakresie </w:t>
      </w:r>
      <w:r w:rsidR="008C309B" w:rsidRPr="008C309B">
        <w:t>opracowanie i wdrożenie jednolitych standardów funkcjonowania i produktu w postaci Interdyscyplinarnego Centrum Leczenia i Rehabilitacji (dale Centrum).</w:t>
      </w:r>
    </w:p>
    <w:p w14:paraId="6A6D5444" w14:textId="77777777" w:rsidR="00A71516" w:rsidRPr="008D5664" w:rsidRDefault="00A71516" w:rsidP="00A71516">
      <w:pPr>
        <w:rPr>
          <w:rFonts w:cstheme="minorHAnsi"/>
          <w:szCs w:val="20"/>
        </w:rPr>
      </w:pPr>
      <w:r>
        <w:rPr>
          <w:rFonts w:cstheme="minorHAnsi"/>
          <w:szCs w:val="20"/>
        </w:rPr>
        <w:lastRenderedPageBreak/>
        <w:t xml:space="preserve">Projekt Centrum obejmuje </w:t>
      </w:r>
      <w:r w:rsidRPr="008D5664">
        <w:rPr>
          <w:rFonts w:cstheme="minorHAnsi"/>
          <w:szCs w:val="20"/>
        </w:rPr>
        <w:t>przygotowanie, stworzenie i wdrożenie innowacyjnego produktu sieciowego - Interdyscyplinarne Centrum Leczenia i Rehabilitacji.</w:t>
      </w:r>
      <w:r>
        <w:rPr>
          <w:rFonts w:cstheme="minorHAnsi"/>
          <w:szCs w:val="20"/>
        </w:rPr>
        <w:t xml:space="preserve"> </w:t>
      </w:r>
      <w:r w:rsidRPr="008D5664">
        <w:rPr>
          <w:rFonts w:cstheme="minorHAnsi"/>
          <w:szCs w:val="20"/>
        </w:rPr>
        <w:t>Unikalnym rozwiązaniem będzie zastosowanie nowoczesnej komora hiperbarycznej, która będzie podstawą procesu rehabilitacji, jednak nie jedynym</w:t>
      </w:r>
      <w:r>
        <w:rPr>
          <w:rFonts w:cstheme="minorHAnsi"/>
          <w:szCs w:val="20"/>
        </w:rPr>
        <w:t xml:space="preserve"> </w:t>
      </w:r>
      <w:r w:rsidRPr="008D5664">
        <w:rPr>
          <w:rFonts w:cstheme="minorHAnsi"/>
          <w:szCs w:val="20"/>
        </w:rPr>
        <w:t>elementem proponowanej terapii. W Centrum znajdować się będą także profesjonalne jednostki zajmujące się: leczeniem ran (w tym codziennym</w:t>
      </w:r>
      <w:r>
        <w:rPr>
          <w:rFonts w:cstheme="minorHAnsi"/>
          <w:szCs w:val="20"/>
        </w:rPr>
        <w:t xml:space="preserve"> </w:t>
      </w:r>
      <w:r w:rsidRPr="008D5664">
        <w:rPr>
          <w:rFonts w:cstheme="minorHAnsi"/>
          <w:szCs w:val="20"/>
        </w:rPr>
        <w:t>chirurgicznym oczyszczaniem rany, pełną diagnostyką zakażonych tkanek, wycinaniem tkanek martwiczych) i terapią blizn, rehabilitacją ortopedyczną,</w:t>
      </w:r>
      <w:r>
        <w:rPr>
          <w:rFonts w:cstheme="minorHAnsi"/>
          <w:szCs w:val="20"/>
        </w:rPr>
        <w:t xml:space="preserve"> </w:t>
      </w:r>
      <w:r w:rsidRPr="008D5664">
        <w:rPr>
          <w:rFonts w:cstheme="minorHAnsi"/>
          <w:szCs w:val="20"/>
        </w:rPr>
        <w:t>rehabilitacją dzieci do lat 16 oraz rehabilitacją neurologiczną. Zasadniczym celem takiego połączenia jest stworzenie przestrzeni, w której szeroki wachlarz</w:t>
      </w:r>
      <w:r>
        <w:rPr>
          <w:rFonts w:cstheme="minorHAnsi"/>
          <w:szCs w:val="20"/>
        </w:rPr>
        <w:t xml:space="preserve"> </w:t>
      </w:r>
      <w:r w:rsidRPr="008D5664">
        <w:rPr>
          <w:rFonts w:cstheme="minorHAnsi"/>
          <w:szCs w:val="20"/>
        </w:rPr>
        <w:t>świadczeń będzie zaspokajał potrzeby rehabilitacyjne pacjentów w pełnym zakresie.</w:t>
      </w:r>
    </w:p>
    <w:p w14:paraId="7F46B281" w14:textId="77777777" w:rsidR="00A71516" w:rsidRPr="008D5664" w:rsidRDefault="00A71516" w:rsidP="00A71516">
      <w:pPr>
        <w:rPr>
          <w:rFonts w:cstheme="minorHAnsi"/>
          <w:szCs w:val="20"/>
        </w:rPr>
      </w:pPr>
      <w:r w:rsidRPr="008D5664">
        <w:rPr>
          <w:rFonts w:cstheme="minorHAnsi"/>
          <w:szCs w:val="20"/>
        </w:rPr>
        <w:t>Podstawową innowacyjnością produktu jest zintegrowane i kompleksowe połączenie procesu rehabilitacji z leczeniem tlenem i leczeniem ran. W Polsce istnieje</w:t>
      </w:r>
      <w:r>
        <w:rPr>
          <w:rFonts w:cstheme="minorHAnsi"/>
          <w:szCs w:val="20"/>
        </w:rPr>
        <w:t xml:space="preserve"> </w:t>
      </w:r>
      <w:r w:rsidRPr="008D5664">
        <w:rPr>
          <w:rFonts w:cstheme="minorHAnsi"/>
          <w:szCs w:val="20"/>
        </w:rPr>
        <w:t xml:space="preserve">kilka specjalistycznych ośrodków samej rehabilitacji z możliwością zakwaterowania, ale żaden z nich nie dysponuje możliwością </w:t>
      </w:r>
      <w:proofErr w:type="spellStart"/>
      <w:r w:rsidRPr="008D5664">
        <w:rPr>
          <w:rFonts w:cstheme="minorHAnsi"/>
          <w:szCs w:val="20"/>
        </w:rPr>
        <w:t>hiperbarii</w:t>
      </w:r>
      <w:proofErr w:type="spellEnd"/>
      <w:r w:rsidRPr="008D5664">
        <w:rPr>
          <w:rFonts w:cstheme="minorHAnsi"/>
          <w:szCs w:val="20"/>
        </w:rPr>
        <w:t xml:space="preserve"> ani leczenia gojących</w:t>
      </w:r>
      <w:r>
        <w:rPr>
          <w:rFonts w:cstheme="minorHAnsi"/>
          <w:szCs w:val="20"/>
        </w:rPr>
        <w:t xml:space="preserve"> </w:t>
      </w:r>
      <w:r w:rsidRPr="008D5664">
        <w:rPr>
          <w:rFonts w:cstheme="minorHAnsi"/>
          <w:szCs w:val="20"/>
        </w:rPr>
        <w:t xml:space="preserve">się ran. Podobnie jest z ośrodkami </w:t>
      </w:r>
      <w:proofErr w:type="spellStart"/>
      <w:r w:rsidRPr="008D5664">
        <w:rPr>
          <w:rFonts w:cstheme="minorHAnsi"/>
          <w:szCs w:val="20"/>
        </w:rPr>
        <w:t>hiperbarii</w:t>
      </w:r>
      <w:proofErr w:type="spellEnd"/>
      <w:r w:rsidRPr="008D5664">
        <w:rPr>
          <w:rFonts w:cstheme="minorHAnsi"/>
          <w:szCs w:val="20"/>
        </w:rPr>
        <w:t>: nie posiadają wielospecjalistycznej rehabilitacji ani możliwości zakwaterowania z opieką medyczną (dostosowaną</w:t>
      </w:r>
      <w:r>
        <w:rPr>
          <w:rFonts w:cstheme="minorHAnsi"/>
          <w:szCs w:val="20"/>
        </w:rPr>
        <w:t xml:space="preserve"> </w:t>
      </w:r>
      <w:r w:rsidRPr="008D5664">
        <w:rPr>
          <w:rFonts w:cstheme="minorHAnsi"/>
          <w:szCs w:val="20"/>
        </w:rPr>
        <w:t>do potrzeb osób niepełnosprawnych).</w:t>
      </w:r>
    </w:p>
    <w:p w14:paraId="563AFE17" w14:textId="77777777" w:rsidR="00A71516" w:rsidRPr="008D5664" w:rsidRDefault="00A71516" w:rsidP="00A71516">
      <w:pPr>
        <w:rPr>
          <w:rFonts w:cstheme="minorHAnsi"/>
          <w:szCs w:val="20"/>
        </w:rPr>
      </w:pPr>
      <w:r w:rsidRPr="008D5664">
        <w:rPr>
          <w:rFonts w:cstheme="minorHAnsi"/>
          <w:szCs w:val="20"/>
        </w:rPr>
        <w:t>Przedmiotowe przedsięwzięcie realizowane będzie w Rzeszowie przez trzech Partnerów:</w:t>
      </w:r>
    </w:p>
    <w:p w14:paraId="3032A2AE" w14:textId="77777777" w:rsidR="00A71516" w:rsidRPr="008D5664" w:rsidRDefault="00A71516" w:rsidP="00A71516">
      <w:pPr>
        <w:rPr>
          <w:rFonts w:cstheme="minorHAnsi"/>
          <w:szCs w:val="20"/>
        </w:rPr>
      </w:pPr>
      <w:r w:rsidRPr="008D5664">
        <w:rPr>
          <w:rFonts w:cstheme="minorHAnsi"/>
          <w:szCs w:val="20"/>
        </w:rPr>
        <w:t>a) POLGRYS KRUSZYWA Sp. z o.o. Sp. K. – Partner Wiodący</w:t>
      </w:r>
    </w:p>
    <w:p w14:paraId="2197BD63" w14:textId="77777777" w:rsidR="00A71516" w:rsidRPr="008D5664" w:rsidRDefault="00A71516" w:rsidP="00A71516">
      <w:pPr>
        <w:rPr>
          <w:rFonts w:cstheme="minorHAnsi"/>
          <w:szCs w:val="20"/>
        </w:rPr>
      </w:pPr>
      <w:r w:rsidRPr="008D5664">
        <w:rPr>
          <w:rFonts w:cstheme="minorHAnsi"/>
          <w:szCs w:val="20"/>
        </w:rPr>
        <w:t>b) ORTOPEDA LEKARZE RYSZARD BIELAK, BOGUSŁAW RYDZAK Sp. Partnerska</w:t>
      </w:r>
    </w:p>
    <w:p w14:paraId="55494014" w14:textId="77777777" w:rsidR="00A71516" w:rsidRDefault="00A71516" w:rsidP="00A71516">
      <w:pPr>
        <w:rPr>
          <w:rFonts w:cstheme="minorHAnsi"/>
          <w:szCs w:val="20"/>
        </w:rPr>
      </w:pPr>
      <w:r w:rsidRPr="008D5664">
        <w:rPr>
          <w:rFonts w:cstheme="minorHAnsi"/>
          <w:szCs w:val="20"/>
        </w:rPr>
        <w:t>c) PRZEDSIĘBIORSTWO HANDLOWO-USŁUGOWE "TECHNOMEX" Sp. z o.o.</w:t>
      </w:r>
    </w:p>
    <w:p w14:paraId="762C132F" w14:textId="77777777" w:rsidR="00A71516" w:rsidRDefault="00A71516" w:rsidP="00A71516">
      <w:pPr>
        <w:rPr>
          <w:rFonts w:cstheme="minorHAnsi"/>
          <w:szCs w:val="20"/>
        </w:rPr>
      </w:pPr>
    </w:p>
    <w:p w14:paraId="13E8DCB3" w14:textId="77777777" w:rsidR="00A71516" w:rsidRDefault="00A71516" w:rsidP="00A71516">
      <w:pPr>
        <w:rPr>
          <w:rFonts w:cstheme="minorHAnsi"/>
          <w:szCs w:val="20"/>
        </w:rPr>
      </w:pPr>
      <w:r>
        <w:rPr>
          <w:rFonts w:cstheme="minorHAnsi"/>
          <w:szCs w:val="20"/>
        </w:rPr>
        <w:t>W ramach zamówienia Wykonawca zobowiązuje się do:</w:t>
      </w:r>
    </w:p>
    <w:p w14:paraId="676784C9" w14:textId="77777777" w:rsidR="00A71516" w:rsidRPr="002B19F9" w:rsidRDefault="00A71516" w:rsidP="00A71516">
      <w:pPr>
        <w:rPr>
          <w:rFonts w:cstheme="minorHAnsi"/>
          <w:szCs w:val="20"/>
        </w:rPr>
      </w:pPr>
    </w:p>
    <w:p w14:paraId="095DF0FC" w14:textId="77777777" w:rsidR="00A71516" w:rsidRPr="002B19F9" w:rsidRDefault="00A71516" w:rsidP="00A71516">
      <w:pPr>
        <w:pStyle w:val="Akapitzlist"/>
        <w:numPr>
          <w:ilvl w:val="0"/>
          <w:numId w:val="32"/>
        </w:numPr>
        <w:spacing w:before="144" w:after="144"/>
        <w:rPr>
          <w:rFonts w:cstheme="minorHAnsi"/>
          <w:b/>
          <w:bCs/>
          <w:szCs w:val="20"/>
        </w:rPr>
      </w:pPr>
      <w:r w:rsidRPr="002B19F9">
        <w:rPr>
          <w:rFonts w:cstheme="minorHAnsi"/>
          <w:b/>
          <w:bCs/>
          <w:szCs w:val="20"/>
        </w:rPr>
        <w:t xml:space="preserve">Opracowanie przykładów jednolitej oferty spośród ofert partnerów wchodzących w skład projektu – opracowanie min. 5 pakietów usług. </w:t>
      </w:r>
    </w:p>
    <w:p w14:paraId="73F29E7A" w14:textId="77777777" w:rsidR="00A71516" w:rsidRPr="002B19F9" w:rsidRDefault="00A71516" w:rsidP="00A71516">
      <w:pPr>
        <w:pStyle w:val="Akapitzlist"/>
        <w:rPr>
          <w:rFonts w:cstheme="minorHAnsi"/>
          <w:szCs w:val="20"/>
        </w:rPr>
      </w:pPr>
      <w:r w:rsidRPr="002B19F9">
        <w:rPr>
          <w:rFonts w:cstheme="minorHAnsi"/>
          <w:szCs w:val="20"/>
        </w:rPr>
        <w:t>Pakiet to usługi objęte wspólną ceną, tworzące jednolity program. Są przeznaczone do sprzedaży dla klienta i będą dostępne na stronie Centrum. Każdy z pakietów powinien być tworzony przez wszystkich Konsorcjantów ujęciu (1) obszarowym lub (2) instytucjonalnym.</w:t>
      </w:r>
    </w:p>
    <w:p w14:paraId="3DB6B198" w14:textId="77777777" w:rsidR="00A71516" w:rsidRPr="002B19F9" w:rsidRDefault="00A71516" w:rsidP="00A71516">
      <w:pPr>
        <w:pStyle w:val="Akapitzlist"/>
        <w:rPr>
          <w:rFonts w:cstheme="minorHAnsi"/>
          <w:szCs w:val="20"/>
        </w:rPr>
      </w:pPr>
      <w:r w:rsidRPr="002B19F9">
        <w:rPr>
          <w:rFonts w:cstheme="minorHAnsi"/>
          <w:szCs w:val="20"/>
        </w:rPr>
        <w:t xml:space="preserve">W pierwszym przypadku Konsorcjanci zapewniać będą, poprzez kontynuację / uzupełnienie usługi wchodzącej w skład pakietu, jego realizację na terenie obiektu Centrum, jak i u Konsorcjanta nr 1 (ORTOPEDA LEKARZE). Tym samym środki produkcji / wytworzenia usług, niezbędne do stworzenia danej oferty (usługi), z punktu widzenia klienta stanowią wspólną całość (niezależnie od ich rzeczywistego właściciela), co zapewnia homogeniczność i unifikację produktu i pakietów na całym obszarze. </w:t>
      </w:r>
    </w:p>
    <w:p w14:paraId="24C7F70D" w14:textId="77777777" w:rsidR="00A71516" w:rsidRDefault="00A71516" w:rsidP="00A71516">
      <w:pPr>
        <w:pStyle w:val="Akapitzlist"/>
        <w:rPr>
          <w:rFonts w:cstheme="minorHAnsi"/>
          <w:szCs w:val="20"/>
        </w:rPr>
      </w:pPr>
      <w:r w:rsidRPr="002B19F9">
        <w:rPr>
          <w:rFonts w:cstheme="minorHAnsi"/>
          <w:szCs w:val="20"/>
        </w:rPr>
        <w:t>Natomiast w ujęciu instytucjonalnym, w wykonaniu usługi na rzecz odbiorcy końcowego zawsze uczestniczą wszyscy Konsorcjanci (np. poprzez dostarczenie określonych świadczeń w postaci usługi / produktu lub metody jego świadczenia). Zapewnia to kompletność i kompleksowość, oczekiwaną przez pacjenta wobec oferowanego produktu i pakietu.</w:t>
      </w:r>
    </w:p>
    <w:p w14:paraId="265D779B" w14:textId="77777777" w:rsidR="00A71516" w:rsidRDefault="00A71516" w:rsidP="00A71516">
      <w:pPr>
        <w:pStyle w:val="Akapitzlist"/>
        <w:rPr>
          <w:rFonts w:cstheme="minorHAnsi"/>
          <w:szCs w:val="20"/>
        </w:rPr>
      </w:pPr>
    </w:p>
    <w:p w14:paraId="6AC22C87" w14:textId="77777777" w:rsidR="00A71516" w:rsidRPr="00A71516" w:rsidRDefault="00A71516" w:rsidP="00A71516">
      <w:pPr>
        <w:pStyle w:val="Akapitzlist"/>
        <w:rPr>
          <w:rFonts w:cstheme="minorHAnsi"/>
          <w:b/>
          <w:bCs/>
          <w:szCs w:val="20"/>
        </w:rPr>
      </w:pPr>
      <w:r w:rsidRPr="00A71516">
        <w:rPr>
          <w:rFonts w:cstheme="minorHAnsi"/>
          <w:b/>
          <w:bCs/>
          <w:szCs w:val="20"/>
        </w:rPr>
        <w:t xml:space="preserve">Wymagany produkt: </w:t>
      </w:r>
    </w:p>
    <w:p w14:paraId="3633323A" w14:textId="77777777" w:rsidR="00A71516" w:rsidRDefault="00A71516" w:rsidP="00A71516">
      <w:pPr>
        <w:pStyle w:val="Akapitzlist"/>
        <w:rPr>
          <w:rFonts w:cstheme="minorHAnsi"/>
          <w:szCs w:val="20"/>
        </w:rPr>
      </w:pPr>
      <w:r>
        <w:rPr>
          <w:rFonts w:cstheme="minorHAnsi"/>
          <w:szCs w:val="20"/>
        </w:rPr>
        <w:t>Opis co najmniej 5 pakietów usług zawierający co najmniej:</w:t>
      </w:r>
    </w:p>
    <w:p w14:paraId="651AA639" w14:textId="77777777" w:rsidR="00A71516" w:rsidRDefault="00A71516" w:rsidP="00A71516">
      <w:pPr>
        <w:pStyle w:val="Akapitzlist"/>
        <w:numPr>
          <w:ilvl w:val="0"/>
          <w:numId w:val="37"/>
        </w:numPr>
        <w:spacing w:before="144" w:after="144"/>
        <w:rPr>
          <w:rFonts w:cstheme="minorHAnsi"/>
          <w:szCs w:val="20"/>
        </w:rPr>
      </w:pPr>
      <w:r>
        <w:rPr>
          <w:rFonts w:cstheme="minorHAnsi"/>
          <w:szCs w:val="20"/>
        </w:rPr>
        <w:t xml:space="preserve">Opis usługi pod względem merytorycznym z listą procedur medycznych niezbędnych do jej świadczenia, </w:t>
      </w:r>
    </w:p>
    <w:p w14:paraId="4A67B9AA" w14:textId="77777777" w:rsidR="00A71516" w:rsidRDefault="00A71516" w:rsidP="00A71516">
      <w:pPr>
        <w:pStyle w:val="Akapitzlist"/>
        <w:numPr>
          <w:ilvl w:val="0"/>
          <w:numId w:val="37"/>
        </w:numPr>
        <w:spacing w:before="144" w:after="144"/>
        <w:rPr>
          <w:rFonts w:cstheme="minorHAnsi"/>
          <w:szCs w:val="20"/>
        </w:rPr>
      </w:pPr>
      <w:r>
        <w:rPr>
          <w:rFonts w:cstheme="minorHAnsi"/>
          <w:szCs w:val="20"/>
        </w:rPr>
        <w:t xml:space="preserve">Wskazanie jakie procedury są realizowane przez jakiego Partnera </w:t>
      </w:r>
    </w:p>
    <w:p w14:paraId="084A8A40" w14:textId="77777777" w:rsidR="00A71516" w:rsidRDefault="00A71516" w:rsidP="00A71516">
      <w:pPr>
        <w:pStyle w:val="Akapitzlist"/>
        <w:numPr>
          <w:ilvl w:val="0"/>
          <w:numId w:val="37"/>
        </w:numPr>
        <w:spacing w:before="144" w:after="144"/>
        <w:rPr>
          <w:rFonts w:cstheme="minorHAnsi"/>
          <w:szCs w:val="20"/>
        </w:rPr>
      </w:pPr>
      <w:r>
        <w:rPr>
          <w:rFonts w:cstheme="minorHAnsi"/>
          <w:szCs w:val="20"/>
        </w:rPr>
        <w:t xml:space="preserve">Wycenę pakietu pod względem kosztowym z podziałem na Partnerów, </w:t>
      </w:r>
    </w:p>
    <w:p w14:paraId="2EA66469" w14:textId="77777777" w:rsidR="00A71516" w:rsidRDefault="00A71516" w:rsidP="00A71516">
      <w:pPr>
        <w:pStyle w:val="Akapitzlist"/>
        <w:numPr>
          <w:ilvl w:val="0"/>
          <w:numId w:val="37"/>
        </w:numPr>
        <w:spacing w:before="144" w:after="144"/>
        <w:rPr>
          <w:rFonts w:cstheme="minorHAnsi"/>
          <w:szCs w:val="20"/>
        </w:rPr>
      </w:pPr>
      <w:r>
        <w:rPr>
          <w:rFonts w:cstheme="minorHAnsi"/>
          <w:szCs w:val="20"/>
        </w:rPr>
        <w:t>Proponowaną cenę usługi dla klienta końcowego</w:t>
      </w:r>
    </w:p>
    <w:p w14:paraId="4066DB99" w14:textId="77777777" w:rsidR="00A71516" w:rsidRDefault="00A71516" w:rsidP="00A71516">
      <w:pPr>
        <w:pStyle w:val="Akapitzlist"/>
        <w:ind w:left="1080"/>
        <w:rPr>
          <w:rFonts w:cstheme="minorHAnsi"/>
          <w:szCs w:val="20"/>
        </w:rPr>
      </w:pPr>
    </w:p>
    <w:p w14:paraId="4503530D" w14:textId="77777777" w:rsidR="00A71516" w:rsidRPr="002B19F9" w:rsidRDefault="00A71516" w:rsidP="00A71516">
      <w:pPr>
        <w:pStyle w:val="Akapitzlist"/>
        <w:rPr>
          <w:rFonts w:cstheme="minorHAnsi"/>
          <w:szCs w:val="20"/>
        </w:rPr>
      </w:pPr>
    </w:p>
    <w:p w14:paraId="2B95E4BA" w14:textId="77777777" w:rsidR="00A71516" w:rsidRPr="002B19F9" w:rsidRDefault="00A71516" w:rsidP="00A71516">
      <w:pPr>
        <w:pStyle w:val="Akapitzlist"/>
        <w:numPr>
          <w:ilvl w:val="0"/>
          <w:numId w:val="32"/>
        </w:numPr>
        <w:spacing w:before="144" w:after="144"/>
        <w:rPr>
          <w:rFonts w:cstheme="minorHAnsi"/>
          <w:b/>
          <w:bCs/>
          <w:szCs w:val="20"/>
        </w:rPr>
      </w:pPr>
      <w:r w:rsidRPr="002B19F9">
        <w:rPr>
          <w:rFonts w:cstheme="minorHAnsi"/>
          <w:b/>
          <w:bCs/>
          <w:szCs w:val="20"/>
        </w:rPr>
        <w:t>Opracowanie jednolitych zasad funkcjonowania produktu w postaci:</w:t>
      </w:r>
    </w:p>
    <w:p w14:paraId="30748698" w14:textId="77777777" w:rsidR="00A71516" w:rsidRPr="002B19F9" w:rsidRDefault="00A71516" w:rsidP="00A71516">
      <w:pPr>
        <w:pStyle w:val="Akapitzlist"/>
        <w:numPr>
          <w:ilvl w:val="1"/>
          <w:numId w:val="32"/>
        </w:numPr>
        <w:spacing w:before="144" w:after="144"/>
        <w:rPr>
          <w:rFonts w:cstheme="minorHAnsi"/>
          <w:szCs w:val="20"/>
        </w:rPr>
      </w:pPr>
      <w:r w:rsidRPr="002B19F9">
        <w:rPr>
          <w:rFonts w:cstheme="minorHAnsi"/>
          <w:szCs w:val="20"/>
        </w:rPr>
        <w:t xml:space="preserve">Księgi procedur i standardów funkcjonowania produktu sieciowego, ze szczególnym uwzględnieniem zasad tworzenia procedur medycznych rozliczanych w ramach NFZ jako benchmark, </w:t>
      </w:r>
    </w:p>
    <w:p w14:paraId="015C3297" w14:textId="77777777" w:rsidR="00A71516" w:rsidRPr="002B19F9" w:rsidRDefault="00A71516" w:rsidP="00A71516">
      <w:pPr>
        <w:pStyle w:val="Akapitzlist"/>
        <w:numPr>
          <w:ilvl w:val="1"/>
          <w:numId w:val="32"/>
        </w:numPr>
        <w:spacing w:before="144" w:after="144"/>
        <w:rPr>
          <w:rFonts w:cstheme="minorHAnsi"/>
          <w:szCs w:val="20"/>
        </w:rPr>
      </w:pPr>
      <w:r w:rsidRPr="002B19F9">
        <w:rPr>
          <w:rFonts w:cstheme="minorHAnsi"/>
          <w:szCs w:val="20"/>
        </w:rPr>
        <w:t>Standardów i procedur obsługi klienta wraz z metodami ich pomiaru</w:t>
      </w:r>
    </w:p>
    <w:p w14:paraId="490D7544" w14:textId="77777777" w:rsidR="00A71516" w:rsidRPr="002B19F9" w:rsidRDefault="00A71516" w:rsidP="00A71516">
      <w:pPr>
        <w:pStyle w:val="Akapitzlist"/>
        <w:numPr>
          <w:ilvl w:val="1"/>
          <w:numId w:val="32"/>
        </w:numPr>
        <w:spacing w:before="144" w:after="144"/>
        <w:rPr>
          <w:rFonts w:cstheme="minorHAnsi"/>
          <w:szCs w:val="20"/>
        </w:rPr>
      </w:pPr>
      <w:r w:rsidRPr="002B19F9">
        <w:rPr>
          <w:rFonts w:cstheme="minorHAnsi"/>
          <w:szCs w:val="20"/>
        </w:rPr>
        <w:t xml:space="preserve">Wzorów dokumentów medycznych niezbędnych do prawidłowej obsługi pacjenta, </w:t>
      </w:r>
    </w:p>
    <w:p w14:paraId="24588434" w14:textId="77777777" w:rsidR="00A71516" w:rsidRPr="002B19F9" w:rsidRDefault="00A71516" w:rsidP="00A71516">
      <w:pPr>
        <w:pStyle w:val="Akapitzlist"/>
        <w:numPr>
          <w:ilvl w:val="1"/>
          <w:numId w:val="32"/>
        </w:numPr>
        <w:spacing w:before="144" w:after="144"/>
        <w:rPr>
          <w:rFonts w:cstheme="minorHAnsi"/>
          <w:szCs w:val="20"/>
        </w:rPr>
      </w:pPr>
      <w:r w:rsidRPr="002B19F9">
        <w:rPr>
          <w:rFonts w:cstheme="minorHAnsi"/>
          <w:szCs w:val="20"/>
        </w:rPr>
        <w:t xml:space="preserve">Wzorów umów z klientami </w:t>
      </w:r>
    </w:p>
    <w:p w14:paraId="72D47D4E" w14:textId="77777777" w:rsidR="00A71516" w:rsidRPr="002B19F9" w:rsidRDefault="00A71516" w:rsidP="00A71516">
      <w:pPr>
        <w:ind w:left="708"/>
        <w:rPr>
          <w:rFonts w:cstheme="minorHAnsi"/>
          <w:szCs w:val="20"/>
        </w:rPr>
      </w:pPr>
      <w:r w:rsidRPr="002B19F9">
        <w:rPr>
          <w:rFonts w:cstheme="minorHAnsi"/>
          <w:szCs w:val="20"/>
        </w:rPr>
        <w:t>Procedura obsługi pacjenta powinna obejmować co najmniej:</w:t>
      </w:r>
    </w:p>
    <w:p w14:paraId="5CD7FEF0" w14:textId="77777777" w:rsidR="00A71516" w:rsidRPr="00A71516" w:rsidRDefault="00A71516" w:rsidP="00A71516">
      <w:pPr>
        <w:pStyle w:val="Default"/>
        <w:numPr>
          <w:ilvl w:val="0"/>
          <w:numId w:val="33"/>
        </w:numPr>
        <w:rPr>
          <w:rStyle w:val="Pogrubienie"/>
          <w:rFonts w:asciiTheme="minorHAnsi" w:hAnsiTheme="minorHAnsi" w:cstheme="minorHAnsi"/>
          <w:b w:val="0"/>
          <w:bCs w:val="0"/>
          <w:color w:val="auto"/>
          <w:sz w:val="20"/>
          <w:szCs w:val="16"/>
        </w:rPr>
      </w:pPr>
      <w:r w:rsidRPr="00A71516">
        <w:rPr>
          <w:rStyle w:val="Pogrubienie"/>
          <w:rFonts w:asciiTheme="minorHAnsi" w:hAnsiTheme="minorHAnsi" w:cstheme="minorHAnsi"/>
          <w:b w:val="0"/>
          <w:bCs w:val="0"/>
          <w:color w:val="auto"/>
          <w:sz w:val="20"/>
          <w:szCs w:val="16"/>
        </w:rPr>
        <w:lastRenderedPageBreak/>
        <w:t>Zasady i standardy obsługi pacjenta w rejestracji medycznej oraz udzielania mu świadczeń zdrowotnych</w:t>
      </w:r>
    </w:p>
    <w:p w14:paraId="655C22B7" w14:textId="77777777" w:rsidR="00A71516" w:rsidRPr="00A71516" w:rsidRDefault="00A71516" w:rsidP="00A71516">
      <w:pPr>
        <w:pStyle w:val="Default"/>
        <w:numPr>
          <w:ilvl w:val="0"/>
          <w:numId w:val="33"/>
        </w:numPr>
        <w:rPr>
          <w:rStyle w:val="Pogrubienie"/>
          <w:rFonts w:asciiTheme="minorHAnsi" w:hAnsiTheme="minorHAnsi" w:cstheme="minorHAnsi"/>
          <w:b w:val="0"/>
          <w:bCs w:val="0"/>
          <w:color w:val="auto"/>
          <w:sz w:val="20"/>
          <w:szCs w:val="16"/>
        </w:rPr>
      </w:pPr>
      <w:r w:rsidRPr="00A71516">
        <w:rPr>
          <w:rStyle w:val="Pogrubienie"/>
          <w:rFonts w:asciiTheme="minorHAnsi" w:hAnsiTheme="minorHAnsi" w:cstheme="minorHAnsi"/>
          <w:b w:val="0"/>
          <w:bCs w:val="0"/>
          <w:color w:val="auto"/>
          <w:sz w:val="20"/>
          <w:szCs w:val="16"/>
        </w:rPr>
        <w:t>Standardy gwarantujące realizację praw pacjenta:</w:t>
      </w:r>
    </w:p>
    <w:p w14:paraId="1AACA50B"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 xml:space="preserve">Prawo Pacjenta  do udzielania mu świadczeń zdrowotnych, </w:t>
      </w:r>
    </w:p>
    <w:p w14:paraId="6C445350"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informacji,</w:t>
      </w:r>
    </w:p>
    <w:p w14:paraId="143D065F"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 xml:space="preserve">prawa Pacjenta do zgłaszania działań niepożądanych produktów leczniczych / związane z podaniem produktów leczniczych, </w:t>
      </w:r>
    </w:p>
    <w:p w14:paraId="042A29FB"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tajemnicy  informacji z nim związanych</w:t>
      </w:r>
    </w:p>
    <w:p w14:paraId="60992FE3"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wyrażenia zgody na udzielenie świadczeń zdrowotnych</w:t>
      </w:r>
    </w:p>
    <w:p w14:paraId="6FCF1006"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poszanowania godności i intymności pacjenta w trakcie procesu udzielania świadczeń zdrowotnych</w:t>
      </w:r>
    </w:p>
    <w:p w14:paraId="75A699FB"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dokumentacji medycznej</w:t>
      </w:r>
    </w:p>
    <w:p w14:paraId="136E304A" w14:textId="77777777" w:rsidR="00A71516" w:rsidRPr="002B19F9" w:rsidRDefault="00A71516" w:rsidP="00A71516">
      <w:pPr>
        <w:pStyle w:val="Default"/>
        <w:numPr>
          <w:ilvl w:val="0"/>
          <w:numId w:val="35"/>
        </w:numPr>
        <w:rPr>
          <w:rFonts w:asciiTheme="minorHAnsi" w:hAnsiTheme="minorHAnsi" w:cstheme="minorHAnsi"/>
          <w:color w:val="auto"/>
          <w:sz w:val="20"/>
          <w:szCs w:val="20"/>
        </w:rPr>
      </w:pPr>
      <w:r w:rsidRPr="002B19F9">
        <w:rPr>
          <w:rFonts w:asciiTheme="minorHAnsi" w:hAnsiTheme="minorHAnsi" w:cstheme="minorHAnsi"/>
          <w:color w:val="auto"/>
          <w:sz w:val="20"/>
          <w:szCs w:val="20"/>
        </w:rPr>
        <w:t>Prawo Pacjenta do poszanowania życia prywatnego i rodzinnego</w:t>
      </w:r>
    </w:p>
    <w:p w14:paraId="053F5556" w14:textId="77777777" w:rsidR="00A71516" w:rsidRPr="002B19F9" w:rsidRDefault="00A71516" w:rsidP="00A71516">
      <w:pPr>
        <w:pStyle w:val="Akapitzlist"/>
        <w:numPr>
          <w:ilvl w:val="0"/>
          <w:numId w:val="33"/>
        </w:numPr>
        <w:autoSpaceDE w:val="0"/>
        <w:autoSpaceDN w:val="0"/>
        <w:adjustRightInd w:val="0"/>
        <w:spacing w:after="0"/>
        <w:jc w:val="left"/>
        <w:rPr>
          <w:rFonts w:cstheme="minorHAnsi"/>
          <w:szCs w:val="20"/>
          <w:lang w:bidi="lo-LA"/>
        </w:rPr>
      </w:pPr>
      <w:r w:rsidRPr="002B19F9">
        <w:rPr>
          <w:rFonts w:cstheme="minorHAnsi"/>
          <w:szCs w:val="20"/>
          <w:lang w:bidi="lo-LA"/>
        </w:rPr>
        <w:t>Standardy bezpieczeństwa:</w:t>
      </w:r>
    </w:p>
    <w:p w14:paraId="69B97E89" w14:textId="77777777" w:rsidR="00A71516" w:rsidRPr="002B19F9" w:rsidRDefault="00A71516" w:rsidP="00A71516">
      <w:pPr>
        <w:pStyle w:val="Akapitzlist"/>
        <w:numPr>
          <w:ilvl w:val="0"/>
          <w:numId w:val="34"/>
        </w:numPr>
        <w:autoSpaceDE w:val="0"/>
        <w:autoSpaceDN w:val="0"/>
        <w:adjustRightInd w:val="0"/>
        <w:spacing w:after="0"/>
        <w:jc w:val="left"/>
        <w:rPr>
          <w:rFonts w:cstheme="minorHAnsi"/>
          <w:szCs w:val="20"/>
          <w:lang w:bidi="lo-LA"/>
        </w:rPr>
      </w:pPr>
      <w:r w:rsidRPr="002B19F9">
        <w:rPr>
          <w:rFonts w:cstheme="minorHAnsi"/>
          <w:szCs w:val="20"/>
          <w:lang w:bidi="lo-LA"/>
        </w:rPr>
        <w:t>Procedura współpracy z policją i innymi służ</w:t>
      </w:r>
      <w:r w:rsidRPr="002B19F9">
        <w:rPr>
          <w:rFonts w:cstheme="minorHAnsi"/>
          <w:szCs w:val="20"/>
          <w:lang w:bidi="lo-LA"/>
        </w:rPr>
        <w:softHyphen/>
        <w:t>bami w przypadku pacjenta agresywnego.</w:t>
      </w:r>
    </w:p>
    <w:p w14:paraId="0C3833C0" w14:textId="77777777" w:rsidR="00A71516" w:rsidRPr="002B19F9" w:rsidRDefault="00A71516" w:rsidP="00A71516">
      <w:pPr>
        <w:pStyle w:val="Akapitzlist"/>
        <w:numPr>
          <w:ilvl w:val="0"/>
          <w:numId w:val="34"/>
        </w:numPr>
        <w:autoSpaceDE w:val="0"/>
        <w:autoSpaceDN w:val="0"/>
        <w:adjustRightInd w:val="0"/>
        <w:spacing w:after="0"/>
        <w:jc w:val="left"/>
        <w:rPr>
          <w:rFonts w:cstheme="minorHAnsi"/>
          <w:szCs w:val="20"/>
          <w:lang w:bidi="lo-LA"/>
        </w:rPr>
      </w:pPr>
      <w:r w:rsidRPr="002B19F9">
        <w:rPr>
          <w:rFonts w:cstheme="minorHAnsi"/>
          <w:szCs w:val="20"/>
          <w:lang w:bidi="lo-LA"/>
        </w:rPr>
        <w:t>Procedura postępowania z pacjentem zaka</w:t>
      </w:r>
      <w:r w:rsidRPr="002B19F9">
        <w:rPr>
          <w:rFonts w:cstheme="minorHAnsi"/>
          <w:szCs w:val="20"/>
          <w:lang w:bidi="lo-LA"/>
        </w:rPr>
        <w:softHyphen/>
        <w:t xml:space="preserve">żonym, wymagającym izolacji. </w:t>
      </w:r>
    </w:p>
    <w:p w14:paraId="63260864" w14:textId="77777777" w:rsidR="00A71516" w:rsidRPr="002B19F9" w:rsidRDefault="00A71516" w:rsidP="00A71516">
      <w:pPr>
        <w:pStyle w:val="Akapitzlist"/>
        <w:numPr>
          <w:ilvl w:val="0"/>
          <w:numId w:val="34"/>
        </w:numPr>
        <w:autoSpaceDE w:val="0"/>
        <w:autoSpaceDN w:val="0"/>
        <w:adjustRightInd w:val="0"/>
        <w:spacing w:after="0"/>
        <w:jc w:val="left"/>
        <w:rPr>
          <w:rFonts w:cstheme="minorHAnsi"/>
          <w:szCs w:val="20"/>
          <w:lang w:bidi="lo-LA"/>
        </w:rPr>
      </w:pPr>
      <w:r w:rsidRPr="002B19F9">
        <w:rPr>
          <w:rFonts w:cstheme="minorHAnsi"/>
          <w:szCs w:val="20"/>
          <w:lang w:bidi="lo-LA"/>
        </w:rPr>
        <w:t>Procedura (wytyczne) dotyczącą zgłaszania zdarzeń niepożądanych</w:t>
      </w:r>
    </w:p>
    <w:p w14:paraId="451CD4A5" w14:textId="77777777" w:rsidR="00A71516" w:rsidRPr="002B19F9" w:rsidRDefault="00A71516" w:rsidP="00A71516">
      <w:pPr>
        <w:ind w:left="708"/>
        <w:rPr>
          <w:rFonts w:cstheme="minorHAnsi"/>
          <w:szCs w:val="20"/>
        </w:rPr>
      </w:pPr>
      <w:r w:rsidRPr="002B19F9">
        <w:rPr>
          <w:rFonts w:cstheme="minorHAnsi"/>
          <w:szCs w:val="20"/>
        </w:rPr>
        <w:t>Dokumentacja powinna uwzględniać  warunki organizacyjno-techniczne do prowadzenia dokumentacji zgodnie z zasadą w postaci elektronicznej.</w:t>
      </w:r>
    </w:p>
    <w:p w14:paraId="7E16A27E" w14:textId="77777777" w:rsidR="00A71516" w:rsidRPr="002B19F9" w:rsidRDefault="00A71516" w:rsidP="00A71516">
      <w:pPr>
        <w:ind w:left="708"/>
        <w:rPr>
          <w:rFonts w:cstheme="minorHAnsi"/>
          <w:szCs w:val="20"/>
        </w:rPr>
      </w:pPr>
      <w:r w:rsidRPr="002B19F9">
        <w:rPr>
          <w:rFonts w:cstheme="minorHAnsi"/>
          <w:szCs w:val="20"/>
        </w:rPr>
        <w:t xml:space="preserve">Dostarczona dokumentacja musi być zgodna z powszechnie obowiązującymi przepisami prawa polskiego i europejskiego, w tym z aktami: </w:t>
      </w:r>
    </w:p>
    <w:p w14:paraId="4564B2D6" w14:textId="77777777" w:rsidR="00A71516" w:rsidRPr="002B19F9" w:rsidRDefault="00A71516" w:rsidP="00A71516">
      <w:pPr>
        <w:pStyle w:val="Akapitzlist"/>
        <w:numPr>
          <w:ilvl w:val="0"/>
          <w:numId w:val="36"/>
        </w:numPr>
        <w:spacing w:before="144" w:after="144"/>
        <w:rPr>
          <w:rFonts w:cstheme="minorHAnsi"/>
          <w:szCs w:val="20"/>
        </w:rPr>
      </w:pPr>
      <w:r w:rsidRPr="002B19F9">
        <w:rPr>
          <w:rFonts w:cstheme="minorHAnsi"/>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32D8758" w14:textId="77777777" w:rsidR="00A71516" w:rsidRPr="002B19F9" w:rsidRDefault="00A71516" w:rsidP="00A71516">
      <w:pPr>
        <w:pStyle w:val="Akapitzlist"/>
        <w:numPr>
          <w:ilvl w:val="0"/>
          <w:numId w:val="36"/>
        </w:numPr>
        <w:spacing w:before="144" w:after="144"/>
        <w:rPr>
          <w:rFonts w:cstheme="minorHAnsi"/>
          <w:szCs w:val="20"/>
        </w:rPr>
      </w:pPr>
      <w:r w:rsidRPr="002B19F9">
        <w:rPr>
          <w:rFonts w:cstheme="minorHAnsi"/>
          <w:szCs w:val="20"/>
        </w:rPr>
        <w:t>USTAWA z dnia 15 kwietnia 2011 r. o działalności leczniczej</w:t>
      </w:r>
    </w:p>
    <w:p w14:paraId="44AE1F5F" w14:textId="77777777" w:rsidR="00A71516" w:rsidRPr="002B19F9" w:rsidRDefault="00A71516" w:rsidP="00A71516">
      <w:pPr>
        <w:pStyle w:val="Akapitzlist"/>
        <w:numPr>
          <w:ilvl w:val="0"/>
          <w:numId w:val="36"/>
        </w:numPr>
        <w:spacing w:before="144" w:after="144"/>
        <w:rPr>
          <w:rFonts w:cstheme="minorHAnsi"/>
          <w:szCs w:val="20"/>
        </w:rPr>
      </w:pPr>
      <w:r w:rsidRPr="002B19F9">
        <w:rPr>
          <w:rFonts w:cstheme="minorHAnsi"/>
          <w:szCs w:val="20"/>
        </w:rPr>
        <w:t>USTAWA z dnia 6 listopada 2008 r.</w:t>
      </w:r>
      <w:r>
        <w:rPr>
          <w:rFonts w:cstheme="minorHAnsi"/>
          <w:szCs w:val="20"/>
        </w:rPr>
        <w:t xml:space="preserve"> </w:t>
      </w:r>
      <w:r w:rsidRPr="002B19F9">
        <w:rPr>
          <w:rFonts w:cstheme="minorHAnsi"/>
          <w:szCs w:val="20"/>
        </w:rPr>
        <w:t>o prawach pacjenta i Rzeczniku Praw Pacjenta</w:t>
      </w:r>
    </w:p>
    <w:p w14:paraId="66F668A2" w14:textId="77777777" w:rsidR="00A71516" w:rsidRPr="002B19F9" w:rsidRDefault="00A71516" w:rsidP="00A71516">
      <w:pPr>
        <w:pStyle w:val="Akapitzlist"/>
        <w:numPr>
          <w:ilvl w:val="0"/>
          <w:numId w:val="36"/>
        </w:numPr>
        <w:spacing w:before="144" w:after="144"/>
        <w:rPr>
          <w:rFonts w:cstheme="minorHAnsi"/>
          <w:szCs w:val="20"/>
        </w:rPr>
      </w:pPr>
      <w:r w:rsidRPr="002B19F9">
        <w:rPr>
          <w:rFonts w:cstheme="minorHAnsi"/>
          <w:szCs w:val="20"/>
        </w:rPr>
        <w:t xml:space="preserve">USTAWA z dnia 28 kwietnia 2011 r. o systemie informacji w ochronie zdrowie </w:t>
      </w:r>
    </w:p>
    <w:p w14:paraId="161908FD" w14:textId="77777777" w:rsidR="00A71516" w:rsidRPr="002B19F9" w:rsidRDefault="00A71516" w:rsidP="00A71516">
      <w:pPr>
        <w:pStyle w:val="Akapitzlist"/>
        <w:numPr>
          <w:ilvl w:val="0"/>
          <w:numId w:val="36"/>
        </w:numPr>
        <w:spacing w:before="144" w:after="144"/>
        <w:rPr>
          <w:rFonts w:cstheme="minorHAnsi"/>
          <w:szCs w:val="20"/>
        </w:rPr>
      </w:pPr>
      <w:r w:rsidRPr="002B19F9">
        <w:rPr>
          <w:rFonts w:cstheme="minorHAnsi"/>
          <w:szCs w:val="20"/>
        </w:rPr>
        <w:t>ROZPORZĄDZENIE MINISTRA ZDROWIA z dnia 6 kwietnia 2020 r. w sprawie rodzajów, zakresu i wzorów dokumentacji medycznej oraz sposobu jej przetwarzania</w:t>
      </w:r>
    </w:p>
    <w:p w14:paraId="597A883B" w14:textId="77777777" w:rsidR="00A71516" w:rsidRPr="002B19F9" w:rsidRDefault="00A71516" w:rsidP="00A71516">
      <w:pPr>
        <w:pStyle w:val="Akapitzlist"/>
        <w:rPr>
          <w:rFonts w:cstheme="minorHAnsi"/>
          <w:szCs w:val="20"/>
        </w:rPr>
      </w:pPr>
    </w:p>
    <w:p w14:paraId="4CC933B9" w14:textId="77777777" w:rsidR="00A71516" w:rsidRPr="00A71516" w:rsidRDefault="00A71516" w:rsidP="00A71516">
      <w:pPr>
        <w:pStyle w:val="Akapitzlist"/>
        <w:rPr>
          <w:rFonts w:cstheme="minorHAnsi"/>
          <w:b/>
          <w:bCs/>
          <w:szCs w:val="20"/>
        </w:rPr>
      </w:pPr>
      <w:r w:rsidRPr="00A71516">
        <w:rPr>
          <w:rFonts w:cstheme="minorHAnsi"/>
          <w:b/>
          <w:bCs/>
          <w:szCs w:val="20"/>
        </w:rPr>
        <w:t>Wymagane produkty:</w:t>
      </w:r>
    </w:p>
    <w:p w14:paraId="5DD21673" w14:textId="77777777" w:rsidR="00A71516" w:rsidRDefault="00A71516" w:rsidP="00A71516">
      <w:pPr>
        <w:pStyle w:val="Akapitzlist"/>
        <w:numPr>
          <w:ilvl w:val="0"/>
          <w:numId w:val="38"/>
        </w:numPr>
        <w:spacing w:before="144" w:after="144"/>
        <w:rPr>
          <w:rFonts w:cstheme="minorHAnsi"/>
          <w:szCs w:val="20"/>
        </w:rPr>
      </w:pPr>
      <w:r>
        <w:rPr>
          <w:rFonts w:cstheme="minorHAnsi"/>
          <w:szCs w:val="20"/>
        </w:rPr>
        <w:t xml:space="preserve">Księga procedur zawierająca elementy wymienione powyżej, </w:t>
      </w:r>
    </w:p>
    <w:p w14:paraId="5FB4163D" w14:textId="77777777" w:rsidR="00A71516" w:rsidRDefault="00A71516" w:rsidP="00A71516">
      <w:pPr>
        <w:pStyle w:val="Akapitzlist"/>
        <w:numPr>
          <w:ilvl w:val="0"/>
          <w:numId w:val="38"/>
        </w:numPr>
        <w:spacing w:before="144" w:after="144"/>
        <w:rPr>
          <w:rFonts w:cstheme="minorHAnsi"/>
          <w:szCs w:val="20"/>
        </w:rPr>
      </w:pPr>
      <w:r>
        <w:rPr>
          <w:rFonts w:cstheme="minorHAnsi"/>
          <w:szCs w:val="20"/>
        </w:rPr>
        <w:t>Kompletna dokumentacja medyczna pacjenta – wzory dokumentów i oświadczeń niezbędnych do podpisu</w:t>
      </w:r>
    </w:p>
    <w:p w14:paraId="1AC6018C" w14:textId="77777777" w:rsidR="00A71516" w:rsidRDefault="00A71516" w:rsidP="00A71516">
      <w:pPr>
        <w:pStyle w:val="Akapitzlist"/>
        <w:numPr>
          <w:ilvl w:val="0"/>
          <w:numId w:val="38"/>
        </w:numPr>
        <w:spacing w:before="144" w:after="144"/>
        <w:rPr>
          <w:rFonts w:cstheme="minorHAnsi"/>
          <w:szCs w:val="20"/>
        </w:rPr>
      </w:pPr>
      <w:r>
        <w:rPr>
          <w:rFonts w:cstheme="minorHAnsi"/>
          <w:szCs w:val="20"/>
        </w:rPr>
        <w:t xml:space="preserve">Projekt umowy z pacjentem na realizację usługi medycznej </w:t>
      </w:r>
    </w:p>
    <w:p w14:paraId="3936141A" w14:textId="77777777" w:rsidR="00A71516" w:rsidRPr="002B19F9" w:rsidRDefault="00A71516" w:rsidP="00A71516">
      <w:pPr>
        <w:pStyle w:val="Akapitzlist"/>
        <w:numPr>
          <w:ilvl w:val="0"/>
          <w:numId w:val="38"/>
        </w:numPr>
        <w:spacing w:before="144" w:after="144"/>
        <w:rPr>
          <w:rFonts w:cstheme="minorHAnsi"/>
          <w:szCs w:val="20"/>
        </w:rPr>
      </w:pPr>
      <w:r>
        <w:rPr>
          <w:rFonts w:cstheme="minorHAnsi"/>
          <w:szCs w:val="20"/>
        </w:rPr>
        <w:t xml:space="preserve">Rekomendacje w zakresie rozwiązań informatycznych pozwalających na obsługę pacjenta, tworzenie i przechowywanie dokumentacji medycznej. </w:t>
      </w:r>
    </w:p>
    <w:p w14:paraId="19519928" w14:textId="77777777" w:rsidR="00A71516" w:rsidRDefault="00A71516" w:rsidP="00A069DA">
      <w:pPr>
        <w:pStyle w:val="Akapitzlist"/>
      </w:pPr>
    </w:p>
    <w:p w14:paraId="261DB2C0" w14:textId="502BD1D4" w:rsidR="00C80A04" w:rsidRPr="00A477EB" w:rsidRDefault="00DF42DA" w:rsidP="00357BE8">
      <w:pPr>
        <w:pStyle w:val="Akapitzlist"/>
        <w:numPr>
          <w:ilvl w:val="0"/>
          <w:numId w:val="19"/>
        </w:numPr>
        <w:rPr>
          <w:b/>
        </w:rPr>
      </w:pPr>
      <w:r w:rsidRPr="00A477EB">
        <w:rPr>
          <w:b/>
        </w:rPr>
        <w:t>Miejsce realizacji zamówienia</w:t>
      </w:r>
    </w:p>
    <w:p w14:paraId="1035525A" w14:textId="1C94C479" w:rsidR="00C80A04" w:rsidRPr="00045020" w:rsidRDefault="006466F1" w:rsidP="65E2856D">
      <w:pPr>
        <w:ind w:left="708"/>
      </w:pPr>
      <w:r w:rsidRPr="006466F1">
        <w:t>Interdyscyplinarne</w:t>
      </w:r>
      <w:r>
        <w:t xml:space="preserve"> </w:t>
      </w:r>
      <w:r w:rsidRPr="006466F1">
        <w:t>Centrum Leczenia i Rehabilitacji zlokalizowane w Rzeszowie, przy ul. Armii Krajowej na dz. nr . 285,286,287, obręb 208</w:t>
      </w:r>
      <w:r w:rsidR="00C80A04" w:rsidRPr="00045020">
        <w:t>, woj. podkarpackie.</w:t>
      </w:r>
    </w:p>
    <w:p w14:paraId="5F6484DF" w14:textId="77777777" w:rsidR="00BC01A2" w:rsidRDefault="00BC01A2" w:rsidP="00BC01A2">
      <w:pPr>
        <w:pStyle w:val="Akapitzlist"/>
        <w:rPr>
          <w:b/>
        </w:rPr>
      </w:pPr>
    </w:p>
    <w:p w14:paraId="079A5922" w14:textId="43BB0B96" w:rsidR="002C12A2" w:rsidRDefault="002C12A2" w:rsidP="00357BE8">
      <w:pPr>
        <w:pStyle w:val="Akapitzlist"/>
        <w:numPr>
          <w:ilvl w:val="0"/>
          <w:numId w:val="19"/>
        </w:numPr>
        <w:rPr>
          <w:b/>
        </w:rPr>
      </w:pPr>
      <w:r>
        <w:rPr>
          <w:b/>
        </w:rPr>
        <w:t>Wizja lokalna</w:t>
      </w:r>
    </w:p>
    <w:p w14:paraId="79279B39" w14:textId="765CFD71" w:rsidR="00355836" w:rsidRDefault="00A4760A" w:rsidP="00355836">
      <w:pPr>
        <w:pStyle w:val="Akapitzlist"/>
        <w:rPr>
          <w:bCs/>
        </w:rPr>
      </w:pPr>
      <w:r w:rsidRPr="00A4760A">
        <w:rPr>
          <w:bCs/>
        </w:rPr>
        <w:t xml:space="preserve">Zamawiający </w:t>
      </w:r>
      <w:r w:rsidR="00355836" w:rsidRPr="00355836">
        <w:rPr>
          <w:b/>
        </w:rPr>
        <w:t>nie</w:t>
      </w:r>
      <w:r w:rsidR="00355836">
        <w:rPr>
          <w:bCs/>
        </w:rPr>
        <w:t xml:space="preserve"> </w:t>
      </w:r>
      <w:r>
        <w:rPr>
          <w:b/>
        </w:rPr>
        <w:t>wymaga,</w:t>
      </w:r>
      <w:r w:rsidRPr="00A4760A">
        <w:rPr>
          <w:bCs/>
        </w:rPr>
        <w:t xml:space="preserve"> aby Wykonawca ubiegający się o realizację zamówienia przed złożeniem oferty dokonał wizji</w:t>
      </w:r>
      <w:r w:rsidRPr="00A4760A">
        <w:rPr>
          <w:bCs/>
          <w:i/>
        </w:rPr>
        <w:t xml:space="preserve"> </w:t>
      </w:r>
      <w:r w:rsidRPr="00A4760A">
        <w:rPr>
          <w:bCs/>
        </w:rPr>
        <w:t>lokalnej w miejscu realizacji zamówienia</w:t>
      </w:r>
      <w:r w:rsidR="00355836">
        <w:rPr>
          <w:bCs/>
        </w:rPr>
        <w:t xml:space="preserve">. </w:t>
      </w:r>
    </w:p>
    <w:p w14:paraId="3002AE4F" w14:textId="2DCA46EC" w:rsidR="002C12A2" w:rsidRPr="00A4760A" w:rsidRDefault="00DB56C4" w:rsidP="002C12A2">
      <w:pPr>
        <w:pStyle w:val="Akapitzlist"/>
        <w:rPr>
          <w:bCs/>
        </w:rPr>
      </w:pPr>
      <w:r>
        <w:rPr>
          <w:bCs/>
        </w:rPr>
        <w:t xml:space="preserve">. </w:t>
      </w:r>
    </w:p>
    <w:p w14:paraId="3885FF27" w14:textId="77777777" w:rsidR="002C12A2" w:rsidRPr="000408DD" w:rsidRDefault="002C12A2" w:rsidP="00887F26">
      <w:pPr>
        <w:pStyle w:val="Akapitzlist"/>
        <w:ind w:left="1416"/>
        <w:rPr>
          <w:bCs/>
        </w:rPr>
      </w:pP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36635D55" w:rsidR="00881507" w:rsidRDefault="00A3538D" w:rsidP="00B53999">
      <w:pPr>
        <w:pStyle w:val="Akapitzlist"/>
        <w:numPr>
          <w:ilvl w:val="0"/>
          <w:numId w:val="4"/>
        </w:numPr>
        <w:ind w:left="720"/>
      </w:pPr>
      <w:r>
        <w:lastRenderedPageBreak/>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12BFB9B2" w14:textId="4B4CD6F7" w:rsidR="00B53999" w:rsidRPr="00CF31AE" w:rsidRDefault="00B53999" w:rsidP="00357BE8">
      <w:pPr>
        <w:pStyle w:val="Akapitzlist"/>
        <w:numPr>
          <w:ilvl w:val="0"/>
          <w:numId w:val="16"/>
        </w:numPr>
        <w:autoSpaceDE w:val="0"/>
        <w:autoSpaceDN w:val="0"/>
        <w:adjustRightInd w:val="0"/>
        <w:spacing w:after="0"/>
        <w:rPr>
          <w:lang w:eastAsia="pl-PL"/>
        </w:rPr>
      </w:pPr>
      <w:r w:rsidRPr="00CF31AE">
        <w:t xml:space="preserve">O udzielenie zamówienia mogą ubiegać się Wykonawcy, którzy spełniają </w:t>
      </w:r>
      <w:r w:rsidR="0003219D" w:rsidRPr="00356A1B">
        <w:t xml:space="preserve">na dzień wskazany w ZO jako dzień składania ofert </w:t>
      </w:r>
      <w:r w:rsidRPr="00356A1B">
        <w:t>określone przez Zamawiającego warunki u</w:t>
      </w:r>
      <w:r w:rsidRPr="00CF31AE">
        <w:t>działu w postępowaniu</w:t>
      </w:r>
      <w:r>
        <w:t>.</w:t>
      </w:r>
    </w:p>
    <w:p w14:paraId="604391C4" w14:textId="77777777" w:rsidR="00B53999" w:rsidRPr="00CF31AE" w:rsidRDefault="00B53999" w:rsidP="00357BE8">
      <w:pPr>
        <w:pStyle w:val="Akapitzlist"/>
        <w:numPr>
          <w:ilvl w:val="0"/>
          <w:numId w:val="16"/>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1B3BFD92" w14:textId="77777777" w:rsidR="00B53999" w:rsidRPr="00B836B6" w:rsidRDefault="00B53999" w:rsidP="00357BE8">
      <w:pPr>
        <w:pStyle w:val="Akapitzlist"/>
        <w:numPr>
          <w:ilvl w:val="0"/>
          <w:numId w:val="16"/>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 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677B9D0F" w14:textId="7E19490E" w:rsidR="00B53999" w:rsidRPr="00CF31AE" w:rsidRDefault="00B53999" w:rsidP="00357BE8">
      <w:pPr>
        <w:pStyle w:val="Akapitzlist"/>
        <w:numPr>
          <w:ilvl w:val="0"/>
          <w:numId w:val="16"/>
        </w:numPr>
      </w:pPr>
      <w:r w:rsidRPr="00CF31AE">
        <w:t>Wykonawcy wspólnie ubiegający się o udzielenie zamówienia ustanawiają pełnomocnika do reprezentowania ich w postępowaniu o udzielenie zamówienia albo reprezentowania w</w:t>
      </w:r>
      <w:r w:rsidR="00E70C42">
        <w:t> </w:t>
      </w:r>
      <w:r w:rsidRPr="00CF31AE">
        <w:t>postępowaniu i zawarcia umowy w sprawie zamówienia publicznego.</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2C0CD15C" w14:textId="238EA462" w:rsidR="00AB2FD2" w:rsidRDefault="009C12D5" w:rsidP="00AB2FD2">
      <w:r w:rsidRPr="009C12D5">
        <w:t>Zamawiający nie formułuje warunku w tym zakresie.</w:t>
      </w:r>
    </w:p>
    <w:p w14:paraId="012EA0E0" w14:textId="587413AF" w:rsidR="00BD20E3" w:rsidRDefault="00BD20E3" w:rsidP="00BD20E3">
      <w:pPr>
        <w:pStyle w:val="Nagwek2"/>
      </w:pPr>
      <w:r>
        <w:t>Wiedza i doświadczenie</w:t>
      </w:r>
    </w:p>
    <w:p w14:paraId="0F65424F" w14:textId="20ADAB29" w:rsidR="0032593F" w:rsidRPr="0032593F" w:rsidRDefault="0032593F" w:rsidP="0032593F">
      <w:pPr>
        <w:rPr>
          <w:u w:val="single"/>
          <w:lang w:val="x-none"/>
        </w:rPr>
      </w:pPr>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niezbędną </w:t>
      </w:r>
      <w:r w:rsidRPr="0032593F">
        <w:rPr>
          <w:b/>
          <w:u w:val="single"/>
        </w:rPr>
        <w:t>wiedzę i</w:t>
      </w:r>
      <w:r w:rsidRPr="0032593F">
        <w:rPr>
          <w:u w:val="single"/>
          <w:lang w:val="x-none"/>
        </w:rPr>
        <w:t xml:space="preserve"> </w:t>
      </w:r>
      <w:r w:rsidRPr="0032593F">
        <w:rPr>
          <w:b/>
          <w:bCs/>
          <w:u w:val="single"/>
          <w:lang w:val="x-none"/>
        </w:rPr>
        <w:t>doświadczeni</w:t>
      </w:r>
      <w:r w:rsidRPr="0032593F">
        <w:rPr>
          <w:b/>
          <w:bCs/>
          <w:u w:val="single"/>
        </w:rPr>
        <w:t>e</w:t>
      </w:r>
      <w:r w:rsidRPr="0032593F">
        <w:rPr>
          <w:u w:val="single"/>
          <w:lang w:val="x-none"/>
        </w:rPr>
        <w:t>, tj.</w:t>
      </w:r>
      <w:r w:rsidRPr="0032593F">
        <w:rPr>
          <w:u w:val="single"/>
        </w:rPr>
        <w:t>:</w:t>
      </w:r>
    </w:p>
    <w:p w14:paraId="4FA0F052" w14:textId="1D3F4331" w:rsidR="00CF3056" w:rsidRPr="00CF3056" w:rsidRDefault="0032593F" w:rsidP="00357BE8">
      <w:pPr>
        <w:numPr>
          <w:ilvl w:val="0"/>
          <w:numId w:val="20"/>
        </w:numPr>
        <w:rPr>
          <w:lang w:val="x-none"/>
        </w:rPr>
      </w:pPr>
      <w:r w:rsidRPr="0032593F">
        <w:t xml:space="preserve">wykażą, że </w:t>
      </w:r>
      <w:r w:rsidRPr="0032593F">
        <w:rPr>
          <w:lang w:val="x-none"/>
        </w:rPr>
        <w:t>nale</w:t>
      </w:r>
      <w:r w:rsidRPr="0032593F">
        <w:t>życie wykonali</w:t>
      </w:r>
      <w:r w:rsidR="002F58FC">
        <w:rPr>
          <w:rStyle w:val="Odwoanieprzypisudolnego"/>
        </w:rPr>
        <w:footnoteReference w:id="2"/>
      </w:r>
      <w:r w:rsidRPr="0032593F">
        <w:t xml:space="preserve"> w okresie ostatnich </w:t>
      </w:r>
      <w:r w:rsidR="006111A0">
        <w:t>3</w:t>
      </w:r>
      <w:r w:rsidRPr="0032593F">
        <w:t xml:space="preserve"> (słownie: </w:t>
      </w:r>
      <w:r w:rsidR="006111A0">
        <w:rPr>
          <w:i/>
        </w:rPr>
        <w:t>trzech</w:t>
      </w:r>
      <w:r w:rsidRPr="0032593F">
        <w:rPr>
          <w:i/>
        </w:rPr>
        <w:t>)</w:t>
      </w:r>
      <w:r w:rsidRPr="0032593F">
        <w:t xml:space="preserve"> lat przed upływem terminu składania ofert, a jeżeli okres działalności Wykonawcy jest krótszy – w tym okresie</w:t>
      </w:r>
      <w:r w:rsidR="00F62DE8">
        <w:t xml:space="preserve"> wykonał</w:t>
      </w:r>
      <w:r w:rsidRPr="0032593F">
        <w:t xml:space="preserve"> co najmniej </w:t>
      </w:r>
      <w:r w:rsidR="009C7A91">
        <w:t>2</w:t>
      </w:r>
      <w:r w:rsidR="00E70C42">
        <w:t> </w:t>
      </w:r>
      <w:r w:rsidRPr="0032593F">
        <w:t xml:space="preserve">(słownie: </w:t>
      </w:r>
      <w:r w:rsidR="009C7A91">
        <w:t>dwa</w:t>
      </w:r>
      <w:r w:rsidRPr="0032593F">
        <w:t xml:space="preserve">) projekty/zamówienia </w:t>
      </w:r>
      <w:r w:rsidR="00CF3056">
        <w:t xml:space="preserve">polegające na wdrożeniu w jednostce medycznej standardów świadczenia usług i obsługi pacjenta oraz </w:t>
      </w:r>
      <w:r w:rsidR="00F942B3">
        <w:t xml:space="preserve">dokumentacji medycznej. </w:t>
      </w:r>
    </w:p>
    <w:p w14:paraId="150E40C5" w14:textId="77777777" w:rsidR="00F942B3" w:rsidRDefault="00F942B3" w:rsidP="0032593F"/>
    <w:p w14:paraId="4BC4BE11" w14:textId="59A81AF9" w:rsidR="0032593F" w:rsidRDefault="0032593F" w:rsidP="0032593F">
      <w:pPr>
        <w:rPr>
          <w:b/>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 xml:space="preserve">zrealizowanych </w:t>
      </w:r>
      <w:r w:rsidR="00505D8F">
        <w:rPr>
          <w:b/>
        </w:rPr>
        <w:t>dostaw</w:t>
      </w:r>
      <w:r w:rsidRPr="0032593F">
        <w:rPr>
          <w:b/>
          <w:lang w:val="x-none"/>
        </w:rPr>
        <w:t xml:space="preserve"> wykonanych nie wcześniej niż w okresie ostatnich </w:t>
      </w:r>
      <w:r w:rsidR="00905D13">
        <w:rPr>
          <w:b/>
        </w:rPr>
        <w:t>trzech</w:t>
      </w:r>
      <w:r w:rsidRPr="0032593F">
        <w:rPr>
          <w:b/>
          <w:lang w:val="x-none"/>
        </w:rPr>
        <w:t xml:space="preserve"> lat przed upływem terminu składania ofert a jeżeli okres prowadzenia działalności jest krótszy - w tym okresie,</w:t>
      </w:r>
      <w:r w:rsidRPr="0032593F">
        <w:t xml:space="preserve"> do którego załączyć należy </w:t>
      </w:r>
      <w:r w:rsidRPr="0032593F">
        <w:rPr>
          <w:b/>
          <w:lang w:val="x-none"/>
        </w:rPr>
        <w:t xml:space="preserve">dokumenty </w:t>
      </w:r>
      <w:r w:rsidRPr="0032593F">
        <w:rPr>
          <w:b/>
          <w:lang w:val="x-none"/>
        </w:rPr>
        <w:lastRenderedPageBreak/>
        <w:t xml:space="preserve">potwierdzające </w:t>
      </w:r>
      <w:r w:rsidRPr="0032593F">
        <w:rPr>
          <w:b/>
        </w:rPr>
        <w:t xml:space="preserve">należyte wykonanie </w:t>
      </w:r>
      <w:r w:rsidRPr="0032593F">
        <w:rPr>
          <w:b/>
          <w:lang w:val="x-none"/>
        </w:rPr>
        <w:t>przedstawionych</w:t>
      </w:r>
      <w:r w:rsidR="001C304C">
        <w:rPr>
          <w:b/>
        </w:rPr>
        <w:t xml:space="preserve"> dostaw</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34D312FC" w14:textId="42203E84" w:rsidR="008D3B52" w:rsidRPr="0032593F" w:rsidRDefault="008D3B52" w:rsidP="0032593F">
      <w:pPr>
        <w:rPr>
          <w:lang w:val="x-none"/>
        </w:rPr>
      </w:pPr>
      <w:r>
        <w:t xml:space="preserve">W przypadku, gdy wartość zamówienia będzie wyrażona w walucie innej niż PLN dla celów przeliczeniowych Zamawiający użyje średniego kursu NBP ważnego w dniu składania ofert. </w:t>
      </w:r>
    </w:p>
    <w:p w14:paraId="457AB32B" w14:textId="77777777" w:rsidR="00DB551C" w:rsidRPr="0032593F" w:rsidRDefault="00DB551C" w:rsidP="00DB551C">
      <w:pPr>
        <w:rPr>
          <w:lang w:val="x-none"/>
        </w:rPr>
      </w:pP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0801F47B" w14:textId="669DFDEB" w:rsidR="00EB2603" w:rsidRDefault="00BD20E3" w:rsidP="00EB2603">
      <w:pPr>
        <w:pStyle w:val="Nagwek2"/>
      </w:pPr>
      <w:r>
        <w:t>Osoby zdolne do wykonania zamówienia</w:t>
      </w:r>
    </w:p>
    <w:p w14:paraId="2FEB9B33" w14:textId="3E667C4C" w:rsidR="00F37A61" w:rsidRDefault="006E49B0" w:rsidP="006E49B0">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w:t>
      </w:r>
      <w:r w:rsidR="00D84E10">
        <w:rPr>
          <w:u w:val="single"/>
        </w:rPr>
        <w:t xml:space="preserve">co najmniej 2 </w:t>
      </w:r>
      <w:r>
        <w:rPr>
          <w:u w:val="single"/>
        </w:rPr>
        <w:t>osoby zdolne do wykonania zamówienia</w:t>
      </w:r>
      <w:r w:rsidR="00F37A61">
        <w:rPr>
          <w:u w:val="single"/>
        </w:rPr>
        <w:t xml:space="preserve">, </w:t>
      </w:r>
      <w:r w:rsidR="00F37A61" w:rsidRPr="00F37A61">
        <w:t>które skierują do</w:t>
      </w:r>
      <w:r w:rsidR="00F37A61">
        <w:t xml:space="preserve"> realizacji zamówienia. </w:t>
      </w:r>
    </w:p>
    <w:p w14:paraId="6EFF72EE" w14:textId="338ECAFD" w:rsidR="00F37A61" w:rsidRDefault="00F37A61" w:rsidP="006E49B0">
      <w:r>
        <w:t xml:space="preserve">Każda ze wskazanych osób musi posiadać </w:t>
      </w:r>
      <w:r w:rsidR="00F62DE8">
        <w:t xml:space="preserve">doświadczenie we </w:t>
      </w:r>
      <w:r>
        <w:t xml:space="preserve"> </w:t>
      </w:r>
      <w:r w:rsidR="00F62DE8" w:rsidRPr="00F62DE8">
        <w:t>wdrożeniu w jednostce medycznej standardów świadczenia usług i obsługi pacjenta oraz dokumentacji medycznej.</w:t>
      </w:r>
      <w:r w:rsidR="00F62DE8">
        <w:t xml:space="preserve"> </w:t>
      </w:r>
    </w:p>
    <w:p w14:paraId="1451FB18" w14:textId="5E88DD33" w:rsidR="006E49B0" w:rsidRPr="00CF3056" w:rsidRDefault="00F62DE8" w:rsidP="00F62DE8">
      <w:pPr>
        <w:rPr>
          <w:lang w:val="x-none"/>
        </w:rPr>
      </w:pPr>
      <w:r>
        <w:t xml:space="preserve">Każda z osób musi wykazać, że w ciągu </w:t>
      </w:r>
      <w:r w:rsidR="006E49B0" w:rsidRPr="0032593F">
        <w:t xml:space="preserve">ostatnich </w:t>
      </w:r>
      <w:r w:rsidR="006E49B0">
        <w:t>3</w:t>
      </w:r>
      <w:r w:rsidR="006E49B0" w:rsidRPr="0032593F">
        <w:t xml:space="preserve"> (słownie: </w:t>
      </w:r>
      <w:r w:rsidR="006E49B0">
        <w:rPr>
          <w:i/>
        </w:rPr>
        <w:t>trzech</w:t>
      </w:r>
      <w:r w:rsidR="006E49B0" w:rsidRPr="0032593F">
        <w:rPr>
          <w:i/>
        </w:rPr>
        <w:t>)</w:t>
      </w:r>
      <w:r w:rsidR="006E49B0" w:rsidRPr="0032593F">
        <w:t xml:space="preserve"> lat przed upływem terminu składania ofert</w:t>
      </w:r>
      <w:r>
        <w:t xml:space="preserve"> brała udział (od początku do końca projektu) w realizacji</w:t>
      </w:r>
      <w:r w:rsidR="006E49B0" w:rsidRPr="0032593F">
        <w:t xml:space="preserve"> co najmniej </w:t>
      </w:r>
      <w:r w:rsidR="006E49B0">
        <w:t>2 </w:t>
      </w:r>
      <w:r w:rsidR="006E49B0" w:rsidRPr="0032593F">
        <w:t xml:space="preserve">(słownie: </w:t>
      </w:r>
      <w:r w:rsidR="006E49B0">
        <w:t>dwa</w:t>
      </w:r>
      <w:r w:rsidR="006E49B0" w:rsidRPr="0032593F">
        <w:t>) projekt</w:t>
      </w:r>
      <w:r w:rsidR="00905D13">
        <w:t>ów</w:t>
      </w:r>
      <w:r w:rsidR="006E49B0" w:rsidRPr="0032593F">
        <w:t>/zamówie</w:t>
      </w:r>
      <w:r w:rsidR="00905D13">
        <w:t>ń</w:t>
      </w:r>
      <w:r w:rsidR="006E49B0" w:rsidRPr="0032593F">
        <w:t xml:space="preserve"> </w:t>
      </w:r>
      <w:r w:rsidR="006E49B0">
        <w:t>polegając</w:t>
      </w:r>
      <w:r w:rsidR="00905D13">
        <w:t>ych</w:t>
      </w:r>
      <w:r w:rsidR="006E49B0">
        <w:t xml:space="preserve"> na wdrożeniu w jednostce medycznej standardów świadczenia usług i obsługi pacjenta oraz dokumentacji medycznej. </w:t>
      </w:r>
    </w:p>
    <w:p w14:paraId="281A7CC5" w14:textId="77777777" w:rsidR="006E49B0" w:rsidRDefault="006E49B0" w:rsidP="006E49B0"/>
    <w:p w14:paraId="1B315C1F" w14:textId="1A8EE9B0" w:rsidR="006E49B0" w:rsidRDefault="006E49B0" w:rsidP="006E49B0">
      <w:pPr>
        <w:rPr>
          <w:b/>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00905D13">
        <w:rPr>
          <w:b/>
        </w:rPr>
        <w:t>osób skierowanych do realizacji zamówienia</w:t>
      </w:r>
      <w:r w:rsidRPr="0032593F">
        <w:rPr>
          <w:b/>
          <w:lang w:val="x-none"/>
        </w:rPr>
        <w:t>,</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przedstawionych</w:t>
      </w:r>
      <w:r>
        <w:rPr>
          <w:b/>
        </w:rPr>
        <w:t xml:space="preserve"> dostaw</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7B29EE10" w14:textId="044B7055" w:rsidR="00BD20E3" w:rsidRDefault="00BD20E3" w:rsidP="00BD20E3">
      <w:pPr>
        <w:pStyle w:val="Nagwek2"/>
      </w:pPr>
      <w:r>
        <w:t>Sytuacja ekonomiczna i finansowa</w:t>
      </w:r>
    </w:p>
    <w:p w14:paraId="13F0EA67" w14:textId="77777777" w:rsidR="00627E7E" w:rsidRPr="00151247" w:rsidRDefault="00627E7E" w:rsidP="00627E7E">
      <w:r>
        <w:t xml:space="preserve">Zamawiający nie formułuje warunku w tym zakresie. </w:t>
      </w:r>
    </w:p>
    <w:p w14:paraId="129ED640" w14:textId="16764106" w:rsidR="00BD20E3" w:rsidRDefault="00BD20E3" w:rsidP="00BD20E3">
      <w:pPr>
        <w:pStyle w:val="Nagwek2"/>
      </w:pPr>
      <w:r>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357BE8">
      <w:pPr>
        <w:pStyle w:val="Akapitzlist"/>
        <w:numPr>
          <w:ilvl w:val="1"/>
          <w:numId w:val="17"/>
        </w:numPr>
        <w:rPr>
          <w:color w:val="000000" w:themeColor="text1"/>
        </w:rPr>
      </w:pPr>
      <w:r w:rsidRPr="00B26D38">
        <w:rPr>
          <w:color w:val="000000" w:themeColor="text1"/>
        </w:rPr>
        <w:t xml:space="preserve">Formularz ofertowy </w:t>
      </w:r>
    </w:p>
    <w:p w14:paraId="4A4BF240" w14:textId="77777777" w:rsidR="00F038CE" w:rsidRDefault="00F038CE" w:rsidP="00357BE8">
      <w:pPr>
        <w:pStyle w:val="Akapitzlist"/>
        <w:numPr>
          <w:ilvl w:val="1"/>
          <w:numId w:val="17"/>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357BE8">
      <w:pPr>
        <w:pStyle w:val="Akapitzlist"/>
        <w:numPr>
          <w:ilvl w:val="1"/>
          <w:numId w:val="17"/>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1C754101" w:rsidR="00795EAB" w:rsidRPr="00795EAB" w:rsidRDefault="00795EAB" w:rsidP="00357BE8">
      <w:pPr>
        <w:pStyle w:val="Akapitzlist"/>
        <w:numPr>
          <w:ilvl w:val="1"/>
          <w:numId w:val="17"/>
        </w:numPr>
        <w:rPr>
          <w:color w:val="000000" w:themeColor="text1"/>
        </w:rPr>
      </w:pPr>
      <w:r w:rsidRPr="00795EAB">
        <w:rPr>
          <w:color w:val="000000" w:themeColor="text1"/>
        </w:rPr>
        <w:t xml:space="preserve">Wykaz zrealizowanych </w:t>
      </w:r>
      <w:r w:rsidR="00905D13">
        <w:rPr>
          <w:color w:val="000000" w:themeColor="text1"/>
        </w:rPr>
        <w:t>usług</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w:t>
      </w:r>
      <w:r w:rsidR="001A2EA8">
        <w:rPr>
          <w:color w:val="000000" w:themeColor="text1"/>
        </w:rPr>
        <w:t>dostaw</w:t>
      </w:r>
      <w:r w:rsidRPr="00795EAB">
        <w:rPr>
          <w:color w:val="000000" w:themeColor="text1"/>
        </w:rPr>
        <w:t xml:space="preserve"> przedstawionych w </w:t>
      </w:r>
      <w:r>
        <w:rPr>
          <w:color w:val="000000" w:themeColor="text1"/>
        </w:rPr>
        <w:t xml:space="preserve">wykazie zrealizowanych </w:t>
      </w:r>
      <w:r w:rsidR="00905D13">
        <w:rPr>
          <w:color w:val="000000" w:themeColor="text1"/>
        </w:rPr>
        <w:t>usług</w:t>
      </w:r>
      <w:r w:rsidRPr="00795EAB">
        <w:rPr>
          <w:color w:val="000000" w:themeColor="text1"/>
        </w:rPr>
        <w:t xml:space="preserve">. </w:t>
      </w:r>
    </w:p>
    <w:p w14:paraId="2123C608" w14:textId="2742FCA7" w:rsidR="00905D13" w:rsidRPr="00795EAB" w:rsidRDefault="00905D13" w:rsidP="00905D13">
      <w:pPr>
        <w:pStyle w:val="Akapitzlist"/>
        <w:numPr>
          <w:ilvl w:val="1"/>
          <w:numId w:val="17"/>
        </w:numPr>
        <w:rPr>
          <w:color w:val="000000" w:themeColor="text1"/>
        </w:rPr>
      </w:pPr>
      <w:r w:rsidRPr="00795EAB">
        <w:rPr>
          <w:color w:val="000000" w:themeColor="text1"/>
        </w:rPr>
        <w:t xml:space="preserve">Wykaz </w:t>
      </w:r>
      <w:r>
        <w:rPr>
          <w:color w:val="000000" w:themeColor="text1"/>
        </w:rPr>
        <w:t xml:space="preserve">osób </w:t>
      </w:r>
      <w:r w:rsidRPr="00795EAB">
        <w:rPr>
          <w:color w:val="000000" w:themeColor="text1"/>
        </w:rPr>
        <w:t xml:space="preserve">wraz z kserokopiami referencji, listów intencyjnych, protokołów odbioru lub innych dokumentów mających tożsamą wartość dowodową, wg wyboru wykonawcy, potwierdzających </w:t>
      </w:r>
      <w:r>
        <w:rPr>
          <w:color w:val="000000" w:themeColor="text1"/>
        </w:rPr>
        <w:t>posiadane doświadczenie</w:t>
      </w:r>
      <w:r w:rsidRPr="00795EAB">
        <w:rPr>
          <w:color w:val="000000" w:themeColor="text1"/>
        </w:rPr>
        <w:t xml:space="preserve">. </w:t>
      </w:r>
    </w:p>
    <w:p w14:paraId="660F14C4" w14:textId="211F9EFF" w:rsidR="005A3AE4" w:rsidRDefault="005A3AE4" w:rsidP="00357BE8">
      <w:pPr>
        <w:pStyle w:val="Akapitzlist"/>
        <w:numPr>
          <w:ilvl w:val="1"/>
          <w:numId w:val="17"/>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7AA06C26" w14:textId="772ADAC8" w:rsidR="00B73286" w:rsidRPr="006F4CC5" w:rsidRDefault="00B73286" w:rsidP="008F322E">
      <w:pPr>
        <w:pStyle w:val="Akapitzlist"/>
        <w:numPr>
          <w:ilvl w:val="1"/>
          <w:numId w:val="17"/>
        </w:numPr>
        <w:rPr>
          <w:bCs/>
        </w:rPr>
      </w:pPr>
      <w:r w:rsidRPr="006F4CC5">
        <w:rPr>
          <w:bCs/>
        </w:rPr>
        <w:t xml:space="preserve">Oświadczenie o udostępnieniu </w:t>
      </w:r>
      <w:r w:rsidR="00634B08">
        <w:rPr>
          <w:bCs/>
        </w:rPr>
        <w:t>zasobów</w:t>
      </w:r>
    </w:p>
    <w:p w14:paraId="1A905B04" w14:textId="77777777" w:rsidR="00B900ED" w:rsidRPr="005A3AE4" w:rsidRDefault="00B900ED" w:rsidP="00B900ED">
      <w:pPr>
        <w:pStyle w:val="Akapitzlist"/>
        <w:rPr>
          <w:color w:val="000000" w:themeColor="text1"/>
        </w:rPr>
      </w:pP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lastRenderedPageBreak/>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35C78CB5" w14:textId="0B738701" w:rsidR="0003219D" w:rsidRPr="00356A1B" w:rsidRDefault="0003219D" w:rsidP="00121261">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6A0EE43D" w14:textId="225AFAC2" w:rsidR="0003219D" w:rsidRPr="00356A1B" w:rsidRDefault="0003219D" w:rsidP="0003219D">
      <w:r w:rsidRPr="00356A1B">
        <w:t xml:space="preserve">W przypadku nie załączenia </w:t>
      </w:r>
      <w:r w:rsidR="003012DE">
        <w:t>do</w:t>
      </w:r>
      <w:r w:rsidRPr="00356A1B">
        <w:t xml:space="preserve"> oferty</w:t>
      </w:r>
      <w:r w:rsidR="003012DE">
        <w:t xml:space="preserve"> wymaganych załączników </w:t>
      </w:r>
      <w:r w:rsidR="00B5010E">
        <w:t xml:space="preserve">lub w przypadku stwierdzania braków lub nieścisłości w złożonych dokumentach </w:t>
      </w:r>
      <w:r w:rsidRPr="00356A1B">
        <w:t xml:space="preserve">Zamawiający dopuszcza jednokrotne wezwanie do złożenia lub uzupełnienia wymaganych dokumentów.  </w:t>
      </w:r>
    </w:p>
    <w:p w14:paraId="4D943908" w14:textId="2C059418" w:rsidR="00D236A3" w:rsidRDefault="00BD20E3" w:rsidP="00BD20E3">
      <w:pPr>
        <w:pStyle w:val="Nagwek2"/>
      </w:pPr>
      <w:r>
        <w:t>Dodatkowe warunki udziału</w:t>
      </w:r>
    </w:p>
    <w:p w14:paraId="23FBA289" w14:textId="66AE87C5" w:rsidR="001613D8" w:rsidRPr="00151247" w:rsidRDefault="004C075C" w:rsidP="006E023B">
      <w:r>
        <w:t xml:space="preserve">W zakresie spełnienia wymogów opisanych w rozdziale 5 Wykonawca może korzystać z zasobów </w:t>
      </w:r>
      <w:r w:rsidR="00B73286">
        <w:t xml:space="preserve">podmiotów trzecich. W takiej sytuacji należy dołączyć do oferty oświadczenia o udostępnieniu tych zasobów, a podmiot udostępniający zasoby musi brać udział w realizacji zamówienia w zakresie, w jakim następuje udostępnienie tych zasobów.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1A7E1DD9" w:rsidR="00517661" w:rsidRDefault="00D21F5A" w:rsidP="00357BE8">
      <w:pPr>
        <w:pStyle w:val="Akapitzlist"/>
        <w:numPr>
          <w:ilvl w:val="0"/>
          <w:numId w:val="9"/>
        </w:numPr>
      </w:pPr>
      <w:r>
        <w:t xml:space="preserve">(C) </w:t>
      </w:r>
      <w:r w:rsidR="00517661">
        <w:t>Cena –</w:t>
      </w:r>
      <w:r w:rsidR="00DD5BF2">
        <w:t xml:space="preserve"> </w:t>
      </w:r>
      <w:r w:rsidR="00B5010E">
        <w:t>75</w:t>
      </w:r>
      <w:r w:rsidR="00517661">
        <w:t>%</w:t>
      </w:r>
      <w:r w:rsidR="00663B5B">
        <w:t xml:space="preserve"> = </w:t>
      </w:r>
      <w:r w:rsidR="00A966C1">
        <w:t>50</w:t>
      </w:r>
      <w:r w:rsidR="00663B5B">
        <w:t xml:space="preserve"> pkt. </w:t>
      </w:r>
    </w:p>
    <w:p w14:paraId="67AE17A0" w14:textId="1D49AACF" w:rsidR="00663B5B" w:rsidRDefault="00D21F5A" w:rsidP="00357BE8">
      <w:pPr>
        <w:pStyle w:val="Akapitzlist"/>
        <w:numPr>
          <w:ilvl w:val="0"/>
          <w:numId w:val="9"/>
        </w:numPr>
      </w:pPr>
      <w:r>
        <w:t>(</w:t>
      </w:r>
      <w:r w:rsidR="00AB2E96">
        <w:t>T</w:t>
      </w:r>
      <w:r>
        <w:t xml:space="preserve">) </w:t>
      </w:r>
      <w:r w:rsidR="00BB75B8">
        <w:t>Termin wykonania</w:t>
      </w:r>
      <w:r w:rsidR="00663B5B">
        <w:t xml:space="preserve"> – </w:t>
      </w:r>
      <w:r w:rsidR="00874B90">
        <w:t>25</w:t>
      </w:r>
      <w:r w:rsidR="00663B5B">
        <w:t xml:space="preserve">% = </w:t>
      </w:r>
      <w:r w:rsidR="00874B90">
        <w:t>25</w:t>
      </w:r>
      <w:r w:rsidR="00663B5B">
        <w:t xml:space="preserve"> pkt</w:t>
      </w:r>
    </w:p>
    <w:p w14:paraId="588D1CAE" w14:textId="3E043132" w:rsidR="00A966C1" w:rsidRDefault="00A966C1" w:rsidP="00357BE8">
      <w:pPr>
        <w:pStyle w:val="Akapitzlist"/>
        <w:numPr>
          <w:ilvl w:val="0"/>
          <w:numId w:val="9"/>
        </w:numPr>
      </w:pPr>
      <w:r>
        <w:t>(S) Liczba dodatkowych osób skierowanych do realizacji zamówienia – 25% = 25 pkt</w:t>
      </w:r>
    </w:p>
    <w:p w14:paraId="44792942" w14:textId="0DD1D70C" w:rsidR="00B56523" w:rsidRDefault="00517661" w:rsidP="00B56523">
      <w:pPr>
        <w:pStyle w:val="Nagwek2"/>
      </w:pPr>
      <w:r>
        <w:t xml:space="preserve">Sposób przyznawania punktacji </w:t>
      </w:r>
    </w:p>
    <w:p w14:paraId="589FD460" w14:textId="5CD08C6E" w:rsidR="00CA7AF1" w:rsidRDefault="00517661" w:rsidP="00120A38">
      <w:pPr>
        <w:pStyle w:val="Nagwek3"/>
      </w:pPr>
      <w:r>
        <w:t>Cena</w:t>
      </w:r>
      <w:r w:rsidR="00247FB8">
        <w:t xml:space="preserve"> netto</w:t>
      </w:r>
    </w:p>
    <w:p w14:paraId="2328A5EF" w14:textId="77777777" w:rsidR="00653ADB" w:rsidRPr="00653ADB" w:rsidRDefault="00653ADB" w:rsidP="00653ADB"/>
    <w:p w14:paraId="1800E21E" w14:textId="5E8BADB9" w:rsidR="00653ADB" w:rsidRDefault="00653ADB" w:rsidP="00357BE8">
      <w:pPr>
        <w:pStyle w:val="Akapitzlist"/>
        <w:numPr>
          <w:ilvl w:val="0"/>
          <w:numId w:val="10"/>
        </w:numPr>
      </w:pPr>
      <w:r>
        <w:t>Wykonawca określi cenę oferty w  Formularzu oferty.</w:t>
      </w:r>
    </w:p>
    <w:p w14:paraId="5D1FF849" w14:textId="4C28EC7E" w:rsidR="00760A8C" w:rsidRDefault="00760A8C" w:rsidP="00357BE8">
      <w:pPr>
        <w:pStyle w:val="Akapitzlist"/>
        <w:numPr>
          <w:ilvl w:val="0"/>
          <w:numId w:val="10"/>
        </w:numPr>
      </w:pPr>
      <w:r>
        <w:t xml:space="preserve">Zamawiający do oceny przyjmie </w:t>
      </w:r>
      <w:r w:rsidRPr="00760A8C">
        <w:rPr>
          <w:b/>
          <w:bCs/>
        </w:rPr>
        <w:t>cenę netto.</w:t>
      </w:r>
    </w:p>
    <w:p w14:paraId="28DB5071" w14:textId="2AC1CA77" w:rsidR="00DD5BF2" w:rsidRDefault="00DD5BF2" w:rsidP="00357BE8">
      <w:pPr>
        <w:pStyle w:val="Akapitzlist"/>
        <w:numPr>
          <w:ilvl w:val="0"/>
          <w:numId w:val="10"/>
        </w:numPr>
      </w:pPr>
      <w:r>
        <w:t>Wykonawca musi podać cenę oferty w PLN.</w:t>
      </w:r>
      <w:r w:rsidR="00F7117D">
        <w:t xml:space="preserve"> </w:t>
      </w:r>
      <w:r w:rsidR="00F7117D" w:rsidRPr="00F7117D">
        <w:rPr>
          <w:b/>
          <w:bCs/>
        </w:rPr>
        <w:t>Oferty złożone w innej walucie zostaną odrzucone.</w:t>
      </w:r>
      <w:r w:rsidR="00F7117D">
        <w:t xml:space="preserve"> </w:t>
      </w:r>
    </w:p>
    <w:p w14:paraId="74EF4661" w14:textId="6CC2715D" w:rsidR="00653ADB" w:rsidRDefault="00653ADB" w:rsidP="00357BE8">
      <w:pPr>
        <w:pStyle w:val="Akapitzlist"/>
        <w:numPr>
          <w:ilvl w:val="0"/>
          <w:numId w:val="10"/>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357BE8">
      <w:pPr>
        <w:pStyle w:val="Akapitzlist"/>
        <w:numPr>
          <w:ilvl w:val="0"/>
          <w:numId w:val="10"/>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357BE8">
      <w:pPr>
        <w:pStyle w:val="Akapitzlist"/>
        <w:numPr>
          <w:ilvl w:val="0"/>
          <w:numId w:val="10"/>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357BE8">
      <w:pPr>
        <w:pStyle w:val="Akapitzlist"/>
        <w:numPr>
          <w:ilvl w:val="0"/>
          <w:numId w:val="10"/>
        </w:numPr>
        <w:rPr>
          <w:b/>
        </w:rPr>
      </w:pPr>
      <w:r>
        <w:t>Zamawiający dokona oceny kryterium</w:t>
      </w:r>
      <w:r w:rsidR="001751C9" w:rsidRPr="001751C9">
        <w:t xml:space="preserve"> wg następującego wzoru:</w:t>
      </w:r>
    </w:p>
    <w:p w14:paraId="49C3AACD" w14:textId="5BE3FA8A" w:rsidR="001751C9" w:rsidRPr="00DC5843" w:rsidRDefault="00000000"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50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6DBBD9C" w14:textId="1EF5DA9F" w:rsidR="001751C9" w:rsidRDefault="001751C9" w:rsidP="00357BE8">
      <w:pPr>
        <w:pStyle w:val="Akapitzlist"/>
        <w:numPr>
          <w:ilvl w:val="0"/>
          <w:numId w:val="10"/>
        </w:numPr>
        <w:rPr>
          <w:iCs/>
        </w:rPr>
      </w:pPr>
      <w:r w:rsidRPr="001751C9">
        <w:rPr>
          <w:iCs/>
        </w:rPr>
        <w:lastRenderedPageBreak/>
        <w:t>Wartości punktowe w kryterium zostaną podane z dokładnością do dwóch miejsc po przecinku, a zaokrąglenie zostanie dokonane zgodnie z ogólnie przyjętymi zasadami matematyki.</w:t>
      </w:r>
    </w:p>
    <w:p w14:paraId="3532BB37" w14:textId="29275FD0" w:rsidR="0087666D" w:rsidRDefault="00A966C1" w:rsidP="0087666D">
      <w:pPr>
        <w:pStyle w:val="Nagwek3"/>
      </w:pPr>
      <w:r>
        <w:t xml:space="preserve">Termin wykonania </w:t>
      </w:r>
    </w:p>
    <w:p w14:paraId="45941679" w14:textId="77777777" w:rsidR="0087666D" w:rsidRDefault="0087666D" w:rsidP="0087666D"/>
    <w:p w14:paraId="6E881712" w14:textId="420E1FB5" w:rsidR="00793949" w:rsidRDefault="00793949" w:rsidP="0087666D">
      <w:r>
        <w:t xml:space="preserve">W ramach kryterium punktowane jest skrócenie terminu wykonania zamówienia. </w:t>
      </w:r>
      <w:r w:rsidR="0056006C">
        <w:t xml:space="preserve">Zamawiający ustala minimalny termin wykonania zamówienia na 90 dni kalendarzowych licząc od dnia podpisania umowy, zaś maksymalny na </w:t>
      </w:r>
      <w:r w:rsidR="00123856">
        <w:t xml:space="preserve">150 dni licząc od dnia podpisania umowy. </w:t>
      </w:r>
    </w:p>
    <w:p w14:paraId="52BDC335" w14:textId="49AE4BA1" w:rsidR="00123856" w:rsidRDefault="00123856" w:rsidP="0087666D">
      <w:r>
        <w:t xml:space="preserve">Wykonawca deklaruje w ofercie termin wykonania zamówienia mieszczący się w przedziale od 90 do 150 dni. </w:t>
      </w:r>
      <w:r w:rsidR="00AB2E96">
        <w:t xml:space="preserve">Zaoferowanie terminu wykraczającego poza te wielkości spowoduje odrzucenie oferty. </w:t>
      </w:r>
    </w:p>
    <w:p w14:paraId="028CA18F" w14:textId="77777777" w:rsidR="00AB2E96" w:rsidRPr="00AB2E96" w:rsidRDefault="00AB2E96" w:rsidP="00AB2E96">
      <w:pPr>
        <w:rPr>
          <w:b/>
        </w:rPr>
      </w:pPr>
      <w:r>
        <w:t>Zamawiający dokona oceny kryterium</w:t>
      </w:r>
      <w:r w:rsidRPr="001751C9">
        <w:t xml:space="preserve"> wg następującego wzoru:</w:t>
      </w:r>
    </w:p>
    <w:p w14:paraId="681E9462" w14:textId="7C70F71D" w:rsidR="00AB2E96" w:rsidRPr="00DC5843" w:rsidRDefault="00000000" w:rsidP="00AB2E96">
      <w:pPr>
        <w:ind w:left="360"/>
        <w:rPr>
          <w:b/>
        </w:rPr>
      </w:pPr>
      <m:oMathPara>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B</m:t>
                  </m:r>
                </m:sub>
              </m:sSub>
            </m:den>
          </m:f>
          <m:r>
            <m:rPr>
              <m:sty m:val="bi"/>
            </m:rPr>
            <w:rPr>
              <w:rFonts w:ascii="Cambria Math" w:hAnsi="Cambria Math"/>
            </w:rPr>
            <m:t>x 25 pkt</m:t>
          </m:r>
        </m:oMath>
      </m:oMathPara>
    </w:p>
    <w:p w14:paraId="782F5E99" w14:textId="62D984DF" w:rsidR="00AB2E96" w:rsidRPr="0049235E" w:rsidRDefault="00AB2E96" w:rsidP="00AB2E96">
      <w:pPr>
        <w:spacing w:after="0"/>
        <w:ind w:left="709"/>
        <w:rPr>
          <w:i/>
          <w:iCs/>
        </w:rPr>
      </w:pPr>
      <w:r>
        <w:rPr>
          <w:i/>
          <w:iCs/>
        </w:rPr>
        <w:t>T</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p>
    <w:p w14:paraId="4C4D131C" w14:textId="463E65F0" w:rsidR="00AB2E96" w:rsidRDefault="00AB2E96" w:rsidP="00AB2E96">
      <w:pPr>
        <w:spacing w:after="0"/>
        <w:ind w:left="709"/>
        <w:rPr>
          <w:i/>
          <w:iCs/>
        </w:rPr>
      </w:pPr>
      <w:r>
        <w:rPr>
          <w:i/>
          <w:iCs/>
        </w:rPr>
        <w:t>T</w:t>
      </w:r>
      <w:r w:rsidRPr="0049235E">
        <w:rPr>
          <w:i/>
          <w:iCs/>
          <w:vertAlign w:val="subscript"/>
        </w:rPr>
        <w:t>MIN</w:t>
      </w:r>
      <w:r w:rsidRPr="0049235E">
        <w:rPr>
          <w:i/>
          <w:iCs/>
        </w:rPr>
        <w:t xml:space="preserve"> – </w:t>
      </w:r>
      <w:r>
        <w:rPr>
          <w:i/>
          <w:iCs/>
        </w:rPr>
        <w:t xml:space="preserve">najkrótszy </w:t>
      </w:r>
      <w:r w:rsidRPr="0049235E">
        <w:rPr>
          <w:i/>
          <w:iCs/>
        </w:rPr>
        <w:t>zaproponowan</w:t>
      </w:r>
      <w:r>
        <w:rPr>
          <w:i/>
          <w:iCs/>
        </w:rPr>
        <w:t xml:space="preserve">y termin </w:t>
      </w:r>
      <w:r w:rsidRPr="0049235E">
        <w:rPr>
          <w:i/>
          <w:iCs/>
        </w:rPr>
        <w:t>wśród ofert niepodlegających odrzuceniu</w:t>
      </w:r>
    </w:p>
    <w:p w14:paraId="43E2F901" w14:textId="15E228B2" w:rsidR="00AB2E96" w:rsidRDefault="00AB2E96" w:rsidP="00AB2E96">
      <w:pPr>
        <w:spacing w:after="0"/>
        <w:ind w:left="709"/>
        <w:rPr>
          <w:i/>
          <w:iCs/>
        </w:rPr>
      </w:pPr>
      <w:r>
        <w:rPr>
          <w:i/>
          <w:iCs/>
        </w:rPr>
        <w:t>T</w:t>
      </w:r>
      <w:r w:rsidRPr="0049235E">
        <w:rPr>
          <w:i/>
          <w:iCs/>
          <w:vertAlign w:val="subscript"/>
        </w:rPr>
        <w:t>B</w:t>
      </w:r>
      <w:r w:rsidRPr="0049235E">
        <w:rPr>
          <w:i/>
          <w:iCs/>
        </w:rPr>
        <w:t xml:space="preserve"> – zaproponowan</w:t>
      </w:r>
      <w:r>
        <w:rPr>
          <w:i/>
          <w:iCs/>
        </w:rPr>
        <w:t xml:space="preserve">y termin w ofercie </w:t>
      </w:r>
      <w:r w:rsidRPr="0049235E">
        <w:rPr>
          <w:i/>
          <w:iCs/>
        </w:rPr>
        <w:t>badanej</w:t>
      </w:r>
    </w:p>
    <w:p w14:paraId="28C58EB0" w14:textId="77777777" w:rsidR="0040788A" w:rsidRDefault="0040788A" w:rsidP="008D713F">
      <w:pPr>
        <w:rPr>
          <w:b/>
        </w:rPr>
      </w:pPr>
    </w:p>
    <w:p w14:paraId="1A37C2DC" w14:textId="2E10D8EA" w:rsidR="00AB2E96" w:rsidRDefault="00AB2E96" w:rsidP="00AB2E96">
      <w:pPr>
        <w:pStyle w:val="Nagwek3"/>
      </w:pPr>
      <w:r w:rsidRPr="00AB2E96">
        <w:t xml:space="preserve">Liczba dodatkowych osób skierowanych do realizacji zamówienia </w:t>
      </w:r>
    </w:p>
    <w:p w14:paraId="683B2DCA" w14:textId="77777777" w:rsidR="00AB2E96" w:rsidRDefault="00AB2E96" w:rsidP="00AB2E96"/>
    <w:p w14:paraId="0730602A" w14:textId="49778C77" w:rsidR="00AB2E96" w:rsidRDefault="00AB2E96" w:rsidP="00AB2E96">
      <w:r>
        <w:t xml:space="preserve">W ramach kryterium punktowane jest skierowanie do realizacji dodatkowych osób (konsultantów) posiadających doświadczenie opisane w pkt. </w:t>
      </w:r>
      <w:r w:rsidR="00DF2327">
        <w:t xml:space="preserve">5.4 Zapytania Ofertowego. </w:t>
      </w:r>
    </w:p>
    <w:p w14:paraId="68C11F33" w14:textId="2307820B" w:rsidR="00DF2327" w:rsidRDefault="00DF2327" w:rsidP="00AB2E96">
      <w:r>
        <w:t xml:space="preserve">Dodatkowe osoby należy wymienić w </w:t>
      </w:r>
      <w:r w:rsidR="00736DD1">
        <w:t xml:space="preserve">Wykazie osób i dołączyć do oferty dokumenty potwierdzające ich doświadczenie. </w:t>
      </w:r>
    </w:p>
    <w:p w14:paraId="61D1DB14" w14:textId="115D70AD" w:rsidR="003703F7" w:rsidRDefault="003703F7" w:rsidP="00AB2E96">
      <w:r>
        <w:t>Zamawiający przyzna punkty w następujący sposób:</w:t>
      </w:r>
    </w:p>
    <w:p w14:paraId="65C56598" w14:textId="1FD75B7E" w:rsidR="003703F7" w:rsidRPr="00750779" w:rsidRDefault="003703F7" w:rsidP="003703F7">
      <w:pPr>
        <w:pStyle w:val="Akapitzlist"/>
        <w:numPr>
          <w:ilvl w:val="1"/>
          <w:numId w:val="3"/>
        </w:numPr>
      </w:pPr>
      <w:r w:rsidRPr="00750779">
        <w:t xml:space="preserve">Za skierowanie do realizacji zamówienia 1 dodatkowej osoby, poza wskazanymi w pkt. 5.4 </w:t>
      </w:r>
      <w:r w:rsidR="00750779" w:rsidRPr="00750779">
        <w:t xml:space="preserve">(razem 3 doradców) – 10 pkt. </w:t>
      </w:r>
    </w:p>
    <w:p w14:paraId="528B9C5D" w14:textId="633AA9F1" w:rsidR="00AB2E96" w:rsidRPr="00750779" w:rsidRDefault="00750779" w:rsidP="00750779">
      <w:pPr>
        <w:pStyle w:val="Akapitzlist"/>
        <w:numPr>
          <w:ilvl w:val="1"/>
          <w:numId w:val="3"/>
        </w:numPr>
      </w:pPr>
      <w:r w:rsidRPr="00750779">
        <w:t xml:space="preserve">Za skierowanie do realizacji zamówienia 2 dodatkowych osób, poza wskazanymi w pkt. 5.4 (razem 4 doradców) – 25 pkt. </w:t>
      </w:r>
    </w:p>
    <w:p w14:paraId="32F27323" w14:textId="77777777" w:rsidR="00AB2E96" w:rsidRDefault="00AB2E96" w:rsidP="008D713F">
      <w:pPr>
        <w:rPr>
          <w:b/>
        </w:rPr>
      </w:pPr>
    </w:p>
    <w:p w14:paraId="169DF262" w14:textId="658C7AD5" w:rsidR="00E06ACB" w:rsidRPr="00250E48" w:rsidRDefault="00E06ACB" w:rsidP="00E06ACB">
      <w:pPr>
        <w:rPr>
          <w:b/>
          <w:bCs/>
        </w:rPr>
      </w:pPr>
      <w:r w:rsidRPr="00250E48">
        <w:rPr>
          <w:b/>
          <w:bCs/>
        </w:rPr>
        <w:t>Łączna liczba punktów otrzymanych przez wykonawcę będzie sumą punktów przyznanych w poszczególnych kategoriach wyliczoną wg wzoru:</w:t>
      </w:r>
    </w:p>
    <w:p w14:paraId="44685385" w14:textId="454C56D4" w:rsidR="00E06ACB" w:rsidRDefault="00E06ACB" w:rsidP="00E06ACB">
      <w:pPr>
        <w:jc w:val="center"/>
      </w:pPr>
      <w:r>
        <w:t>P</w:t>
      </w:r>
      <w:r w:rsidR="00FB39B3" w:rsidRPr="0049235E">
        <w:rPr>
          <w:i/>
          <w:iCs/>
          <w:vertAlign w:val="subscript"/>
        </w:rPr>
        <w:t>0</w:t>
      </w:r>
      <w:r>
        <w:t xml:space="preserve"> = C</w:t>
      </w:r>
      <w:r w:rsidR="0040788A">
        <w:t>+G</w:t>
      </w:r>
    </w:p>
    <w:p w14:paraId="2F3C2150" w14:textId="29E98ADB" w:rsidR="00E06ACB" w:rsidRDefault="00E06ACB" w:rsidP="00E06ACB">
      <w:r>
        <w:t>Maksymalna liczba punktów wynosi 100. Zamawiający dokona wszystkich obliczeń z dokładnością do dwóch miejsc po przecinku. Zamawiający wybierze ofertę, która otrzyma największą liczbę punktów.</w:t>
      </w:r>
    </w:p>
    <w:p w14:paraId="7F80B052" w14:textId="77777777" w:rsidR="001613D8" w:rsidRPr="00E57380" w:rsidRDefault="001613D8" w:rsidP="00E06ACB"/>
    <w:p w14:paraId="774CD6CA" w14:textId="5069A0A8" w:rsidR="008A468F" w:rsidRDefault="00FE73DC" w:rsidP="00134FCA">
      <w:pPr>
        <w:pStyle w:val="Nagwek1"/>
      </w:pPr>
      <w:r>
        <w:t>T</w:t>
      </w:r>
      <w:r w:rsidR="008A468F">
        <w:t>ermin składania ofert</w:t>
      </w:r>
    </w:p>
    <w:p w14:paraId="025DAC90" w14:textId="2804E41E" w:rsidR="00B7522D" w:rsidRPr="009C3D55" w:rsidRDefault="00B7522D" w:rsidP="00B7522D">
      <w:r>
        <w:t xml:space="preserve">Termin składania ofert upływa w </w:t>
      </w:r>
      <w:r w:rsidRPr="009C3D55">
        <w:t xml:space="preserve">dniu </w:t>
      </w:r>
      <w:r w:rsidR="009C3D55" w:rsidRPr="009C3D55">
        <w:rPr>
          <w:b/>
          <w:bCs/>
        </w:rPr>
        <w:t>05</w:t>
      </w:r>
      <w:r w:rsidR="00B21F8E" w:rsidRPr="009C3D55">
        <w:rPr>
          <w:b/>
          <w:bCs/>
        </w:rPr>
        <w:t>.07</w:t>
      </w:r>
      <w:r w:rsidR="008450CC" w:rsidRPr="009C3D55">
        <w:rPr>
          <w:b/>
          <w:bCs/>
        </w:rPr>
        <w:t>.202</w:t>
      </w:r>
      <w:r w:rsidR="001A3A85" w:rsidRPr="009C3D55">
        <w:rPr>
          <w:b/>
          <w:bCs/>
        </w:rPr>
        <w:t xml:space="preserve">3 </w:t>
      </w:r>
      <w:r w:rsidR="008450CC" w:rsidRPr="009C3D55">
        <w:rPr>
          <w:b/>
          <w:bCs/>
        </w:rPr>
        <w:t xml:space="preserve">godz. </w:t>
      </w:r>
      <w:r w:rsidR="00C47203" w:rsidRPr="009C3D55">
        <w:rPr>
          <w:b/>
          <w:bCs/>
        </w:rPr>
        <w:t>1</w:t>
      </w:r>
      <w:r w:rsidR="009C3D55" w:rsidRPr="009C3D55">
        <w:rPr>
          <w:b/>
          <w:bCs/>
        </w:rPr>
        <w:t>0</w:t>
      </w:r>
      <w:r w:rsidR="008450CC" w:rsidRPr="009C3D55">
        <w:rPr>
          <w:b/>
          <w:bCs/>
        </w:rPr>
        <w:t>:00</w:t>
      </w:r>
    </w:p>
    <w:p w14:paraId="582AD493" w14:textId="1DD53EB3" w:rsidR="00131F7D" w:rsidRPr="009C3D55" w:rsidRDefault="00131F7D" w:rsidP="00B7522D">
      <w:r w:rsidRPr="009C3D55">
        <w:t xml:space="preserve">Otwarcie ofert nastąpi w dniu </w:t>
      </w:r>
      <w:r w:rsidR="00C83A43" w:rsidRPr="009C3D55">
        <w:t xml:space="preserve">             </w:t>
      </w:r>
      <w:r w:rsidR="009C3D55" w:rsidRPr="009C3D55">
        <w:rPr>
          <w:b/>
          <w:bCs/>
        </w:rPr>
        <w:t>05</w:t>
      </w:r>
      <w:r w:rsidR="00B21F8E" w:rsidRPr="009C3D55">
        <w:rPr>
          <w:b/>
          <w:bCs/>
        </w:rPr>
        <w:t>.07.</w:t>
      </w:r>
      <w:r w:rsidR="001A3A85" w:rsidRPr="009C3D55">
        <w:rPr>
          <w:b/>
          <w:bCs/>
        </w:rPr>
        <w:t xml:space="preserve">2023 </w:t>
      </w:r>
      <w:r w:rsidR="008450CC" w:rsidRPr="009C3D55">
        <w:rPr>
          <w:b/>
          <w:bCs/>
        </w:rPr>
        <w:t xml:space="preserve"> godz. </w:t>
      </w:r>
      <w:r w:rsidR="00C47203" w:rsidRPr="009C3D55">
        <w:rPr>
          <w:b/>
          <w:bCs/>
        </w:rPr>
        <w:t>1</w:t>
      </w:r>
      <w:r w:rsidR="009C3D55" w:rsidRPr="009C3D55">
        <w:rPr>
          <w:b/>
          <w:bCs/>
        </w:rPr>
        <w:t>0</w:t>
      </w:r>
      <w:r w:rsidR="008450CC" w:rsidRPr="009C3D55">
        <w:rPr>
          <w:b/>
          <w:bCs/>
        </w:rPr>
        <w:t>:</w:t>
      </w:r>
      <w:r w:rsidR="000263C1" w:rsidRPr="009C3D55">
        <w:rPr>
          <w:b/>
          <w:bCs/>
        </w:rPr>
        <w:t>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357BE8">
      <w:pPr>
        <w:pStyle w:val="Akapitzlist"/>
        <w:numPr>
          <w:ilvl w:val="0"/>
          <w:numId w:val="7"/>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357BE8">
      <w:pPr>
        <w:pStyle w:val="Akapitzlist"/>
        <w:numPr>
          <w:ilvl w:val="0"/>
          <w:numId w:val="7"/>
        </w:numPr>
      </w:pPr>
      <w:r w:rsidRPr="005C32EA">
        <w:lastRenderedPageBreak/>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357BE8">
      <w:pPr>
        <w:pStyle w:val="Akapitzlist"/>
        <w:numPr>
          <w:ilvl w:val="0"/>
          <w:numId w:val="7"/>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357BE8">
      <w:pPr>
        <w:pStyle w:val="Akapitzlist"/>
        <w:numPr>
          <w:ilvl w:val="0"/>
          <w:numId w:val="7"/>
        </w:numPr>
      </w:pPr>
      <w:r>
        <w:t>Wykonawca ponosi wszelkie koszty związane z przygotowaniem i złożeniem oferty.</w:t>
      </w:r>
    </w:p>
    <w:p w14:paraId="226A0B9B" w14:textId="079ED39A" w:rsidR="00ED05AD" w:rsidRDefault="00ED05AD" w:rsidP="00357BE8">
      <w:pPr>
        <w:pStyle w:val="Akapitzlist"/>
        <w:numPr>
          <w:ilvl w:val="0"/>
          <w:numId w:val="7"/>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357BE8">
      <w:pPr>
        <w:pStyle w:val="Akapitzlist"/>
        <w:numPr>
          <w:ilvl w:val="0"/>
          <w:numId w:val="11"/>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68D3CD2D" w14:textId="4B54F0D8" w:rsidR="006C29FA" w:rsidRDefault="006C29FA" w:rsidP="00357BE8">
      <w:pPr>
        <w:pStyle w:val="Akapitzlist"/>
        <w:numPr>
          <w:ilvl w:val="0"/>
          <w:numId w:val="11"/>
        </w:numPr>
      </w:pPr>
      <w:r>
        <w:t>Pytania co do przedmiotu zamówienia składa się w postaci elektronicznej poprzez system dostępny na stronie: https://bazakonkurencyjnosci.funduszeeuropejskie.gov.pl</w:t>
      </w:r>
      <w:r w:rsidR="004D5154">
        <w:t>.</w:t>
      </w:r>
      <w:r>
        <w:t xml:space="preserve"> Szczegółowo tryb składania oferty opisuje podręcznik dostępny pod adresem: </w:t>
      </w:r>
    </w:p>
    <w:p w14:paraId="20732BA3" w14:textId="3995E0D0" w:rsidR="006C29FA" w:rsidRDefault="00000000" w:rsidP="00A02F6F">
      <w:pPr>
        <w:pStyle w:val="Akapitzlist"/>
      </w:pPr>
      <w:hyperlink r:id="rId12" w:history="1">
        <w:r w:rsidR="00D57D25" w:rsidRPr="005D2620">
          <w:rPr>
            <w:rStyle w:val="Hipercze"/>
          </w:rPr>
          <w:t>https://bazakonkurencyjnosci.funduszeeuropejskie.gov.pl/pomoc</w:t>
        </w:r>
      </w:hyperlink>
    </w:p>
    <w:p w14:paraId="0D5BD179" w14:textId="4933EBE3" w:rsidR="00D57D25" w:rsidRDefault="00D57D25" w:rsidP="00357BE8">
      <w:pPr>
        <w:pStyle w:val="Akapitzlist"/>
        <w:numPr>
          <w:ilvl w:val="0"/>
          <w:numId w:val="11"/>
        </w:numPr>
        <w:spacing w:after="0"/>
      </w:pPr>
      <w:r>
        <w:t xml:space="preserve">W postępowaniu o udzielenie zamówienia komunikacja pomiędzy Zamawiającym a wykonawcami w szczególności składanie oświadczeń, wniosków (innych niż wskazanych w ust. 2 niniejszego rozdziału), zawiadomień oraz przekazywanie informacji odbywa się elektronicznie, za pomocą poczty elektronicznej, </w:t>
      </w:r>
    </w:p>
    <w:p w14:paraId="59EED428" w14:textId="2ED534DF" w:rsidR="00D57D25" w:rsidRDefault="00D57D25" w:rsidP="00357BE8">
      <w:pPr>
        <w:pStyle w:val="Akapitzlist"/>
        <w:numPr>
          <w:ilvl w:val="0"/>
          <w:numId w:val="11"/>
        </w:numPr>
        <w:spacing w:after="0"/>
      </w:pPr>
      <w:r>
        <w:t xml:space="preserve">Wykonawca zobowiązany jest do wysyłania wszelkiej korespondencji na adresy: e-mail </w:t>
      </w:r>
      <w:hyperlink r:id="rId13" w:history="1">
        <w:r w:rsidR="004D5154" w:rsidRPr="001F242F">
          <w:rPr>
            <w:rStyle w:val="Hipercze"/>
          </w:rPr>
          <w:t>biuro@mjc.com.pl</w:t>
        </w:r>
      </w:hyperlink>
      <w:r w:rsidR="002534BE">
        <w:rPr>
          <w:rStyle w:val="Hipercze"/>
        </w:rPr>
        <w:t xml:space="preserve"> oraz biuro@polgrys.pl</w:t>
      </w:r>
      <w:r>
        <w:t xml:space="preserve">. Wszelkie wiadomości należy wysyłać na oba adresy jednocześnie. </w:t>
      </w:r>
    </w:p>
    <w:p w14:paraId="0D5218D3" w14:textId="77777777" w:rsidR="00A02F6F" w:rsidRPr="006F2D2E" w:rsidRDefault="00A02F6F" w:rsidP="00357BE8">
      <w:pPr>
        <w:pStyle w:val="Akapitzlist"/>
        <w:numPr>
          <w:ilvl w:val="0"/>
          <w:numId w:val="11"/>
        </w:numPr>
        <w:spacing w:after="0"/>
      </w:pPr>
      <w:r w:rsidRPr="006F2D2E">
        <w:t>Pytania do</w:t>
      </w:r>
      <w:r>
        <w:t xml:space="preserve"> </w:t>
      </w:r>
      <w:r w:rsidRPr="006F2D2E">
        <w:t>treści zapytania:</w:t>
      </w:r>
    </w:p>
    <w:p w14:paraId="218EFFB7" w14:textId="7A51302F" w:rsidR="00A02F6F" w:rsidRPr="006F2D2E"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Przedłużenie terminu składania ofert nie wpływa na bieg terminu składania wniosku, o którym mowa w lit. a)</w:t>
      </w:r>
    </w:p>
    <w:p w14:paraId="0D96BBD0" w14:textId="65CB5673" w:rsidR="0038176C" w:rsidRPr="0038176C" w:rsidRDefault="0038176C"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Default="0038176C"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38176C">
        <w:rPr>
          <w:rFonts w:cs="Arial"/>
        </w:rPr>
        <w:t>Zamawiający zastrzega sobie prawo do nieudzielenie odpowiedzi na pytania przekazane mu w</w:t>
      </w:r>
      <w:r w:rsidR="001D7445">
        <w:rPr>
          <w:rFonts w:cs="Arial"/>
        </w:rPr>
        <w:t> </w:t>
      </w:r>
      <w:r w:rsidRPr="0038176C">
        <w:rPr>
          <w:rFonts w:cs="Arial"/>
        </w:rPr>
        <w:t>sposób inny niż opisany powyżej, w szczególności Zamawiający nie odpowiada na pytania za pośrednictwem telefonu</w:t>
      </w:r>
      <w:r w:rsidR="00C80570">
        <w:rPr>
          <w:rFonts w:cs="Arial"/>
        </w:rPr>
        <w:t>, oraz poczty elektronicznej (e-mail)</w:t>
      </w:r>
    </w:p>
    <w:p w14:paraId="441EE1BC" w14:textId="77777777" w:rsidR="00D57D25" w:rsidRDefault="00D57D25" w:rsidP="00357BE8">
      <w:pPr>
        <w:pStyle w:val="Akapitzlist"/>
        <w:numPr>
          <w:ilvl w:val="0"/>
          <w:numId w:val="11"/>
        </w:numPr>
        <w:spacing w:after="0"/>
      </w:pPr>
      <w:r>
        <w:t>Osobami uprawnionymi do kontaktowania się z wykonawcami są:</w:t>
      </w:r>
    </w:p>
    <w:p w14:paraId="6FC6AF5A" w14:textId="7772515C" w:rsidR="00D57D25" w:rsidRPr="009729F4" w:rsidRDefault="00D57D25" w:rsidP="00357BE8">
      <w:pPr>
        <w:pStyle w:val="Akapitzlist"/>
        <w:widowControl w:val="0"/>
        <w:numPr>
          <w:ilvl w:val="0"/>
          <w:numId w:val="18"/>
        </w:numPr>
        <w:shd w:val="clear" w:color="auto" w:fill="FFFFFF" w:themeFill="background1"/>
        <w:autoSpaceDE w:val="0"/>
        <w:autoSpaceDN w:val="0"/>
        <w:adjustRightInd w:val="0"/>
        <w:spacing w:after="0"/>
        <w:rPr>
          <w:lang w:val="pt-PT"/>
        </w:rPr>
      </w:pPr>
      <w:r w:rsidRPr="009729F4">
        <w:rPr>
          <w:lang w:val="pt-PT"/>
        </w:rPr>
        <w:t xml:space="preserve">Michał Janas, e-mail: </w:t>
      </w:r>
      <w:r w:rsidR="00693CF0" w:rsidRPr="009729F4">
        <w:rPr>
          <w:lang w:val="pt-PT"/>
        </w:rPr>
        <w:t>biuro@mjc.com.pl</w:t>
      </w:r>
      <w:r w:rsidRPr="00013B7B">
        <w:fldChar w:fldCharType="begin"/>
      </w:r>
      <w:r w:rsidRPr="009729F4">
        <w:rPr>
          <w:lang w:val="pt-PT"/>
        </w:rPr>
        <w:instrText xml:space="preserve"> biuro@mjc.com.pl" </w:instrText>
      </w:r>
      <w:r w:rsidRPr="00013B7B">
        <w:fldChar w:fldCharType="separate"/>
      </w:r>
      <w:r w:rsidR="00712A29" w:rsidRPr="009729F4">
        <w:rPr>
          <w:rStyle w:val="Hipercze"/>
          <w:lang w:val="pt-PT"/>
        </w:rPr>
        <w:t>biuro@mjc.com.pl</w:t>
      </w:r>
      <w:r w:rsidRPr="00013B7B">
        <w:rPr>
          <w:rStyle w:val="Hipercze"/>
          <w:lang w:val="en-GB"/>
        </w:rPr>
        <w:fldChar w:fldCharType="end"/>
      </w:r>
      <w:r w:rsidR="00712A29" w:rsidRPr="009729F4">
        <w:rPr>
          <w:lang w:val="pt-PT"/>
        </w:rPr>
        <w:t xml:space="preserve"> </w:t>
      </w:r>
    </w:p>
    <w:p w14:paraId="2D3E1845" w14:textId="77777777" w:rsidR="005237FA" w:rsidRPr="009729F4" w:rsidRDefault="005237FA" w:rsidP="00D57D25">
      <w:pPr>
        <w:ind w:left="-12"/>
        <w:rPr>
          <w:lang w:val="pt-PT"/>
        </w:rPr>
      </w:pPr>
    </w:p>
    <w:p w14:paraId="1F0A126E" w14:textId="720400A6" w:rsidR="00ED05AD" w:rsidRDefault="00296D21" w:rsidP="0009515B">
      <w:pPr>
        <w:pStyle w:val="Nagwek2"/>
      </w:pPr>
      <w:r>
        <w:t xml:space="preserve">Sposób złożenia oferty – informacje ogólne </w:t>
      </w:r>
    </w:p>
    <w:p w14:paraId="07A1DC65" w14:textId="401FB19E" w:rsidR="002547DC" w:rsidRPr="00622329" w:rsidRDefault="002547DC" w:rsidP="002F4361">
      <w:pPr>
        <w:pStyle w:val="Nagwek3"/>
        <w:numPr>
          <w:ilvl w:val="0"/>
          <w:numId w:val="0"/>
        </w:numPr>
      </w:pPr>
    </w:p>
    <w:p w14:paraId="0BBFC24C" w14:textId="1223E742" w:rsidR="002F4361" w:rsidRPr="004D5154" w:rsidRDefault="002F4361" w:rsidP="00357BE8">
      <w:pPr>
        <w:pStyle w:val="Akapitzlist"/>
        <w:numPr>
          <w:ilvl w:val="0"/>
          <w:numId w:val="13"/>
        </w:numPr>
        <w:rPr>
          <w:u w:val="single"/>
        </w:rPr>
      </w:pPr>
      <w:r>
        <w:t>Oferty w postępowaniu można składać</w:t>
      </w:r>
      <w:r w:rsidR="004D5154">
        <w:t xml:space="preserve"> </w:t>
      </w:r>
      <w:r w:rsidR="004D5154">
        <w:rPr>
          <w:b/>
          <w:bCs/>
        </w:rPr>
        <w:t xml:space="preserve">wyłącznie z </w:t>
      </w:r>
      <w:r>
        <w:t xml:space="preserve">wykorzystaniem </w:t>
      </w:r>
      <w:r w:rsidR="00C672AE">
        <w:t xml:space="preserve">opcji dostępnej w ramach Bazy Konkurencyjności </w:t>
      </w:r>
    </w:p>
    <w:p w14:paraId="3ACEB5F5" w14:textId="07E2C85E" w:rsidR="009622E8" w:rsidRPr="00BD7703" w:rsidRDefault="009622E8" w:rsidP="00357BE8">
      <w:pPr>
        <w:pStyle w:val="Akapitzlist"/>
        <w:numPr>
          <w:ilvl w:val="0"/>
          <w:numId w:val="13"/>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357BE8">
      <w:pPr>
        <w:pStyle w:val="Akapitzlist"/>
        <w:numPr>
          <w:ilvl w:val="0"/>
          <w:numId w:val="13"/>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DC02E3" w:rsidRDefault="00DC02E3" w:rsidP="00357BE8">
      <w:pPr>
        <w:pStyle w:val="Akapitzlist"/>
        <w:numPr>
          <w:ilvl w:val="0"/>
          <w:numId w:val="13"/>
        </w:numPr>
        <w:rPr>
          <w:b/>
          <w:bCs/>
          <w:u w:val="single"/>
        </w:rPr>
      </w:pPr>
      <w:r w:rsidRPr="00DC02E3">
        <w:rPr>
          <w:b/>
          <w:bCs/>
        </w:rPr>
        <w:lastRenderedPageBreak/>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1E4381C2" w14:textId="0C1E1638" w:rsidR="00D172DB" w:rsidRDefault="00D172DB" w:rsidP="00357BE8">
      <w:pPr>
        <w:pStyle w:val="Akapitzlist"/>
        <w:numPr>
          <w:ilvl w:val="0"/>
          <w:numId w:val="13"/>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p>
    <w:p w14:paraId="6F2D8F28" w14:textId="3B1A2604" w:rsidR="00BD7703" w:rsidRDefault="00775A9C" w:rsidP="00357BE8">
      <w:pPr>
        <w:pStyle w:val="Akapitzlist"/>
        <w:numPr>
          <w:ilvl w:val="0"/>
          <w:numId w:val="13"/>
        </w:numPr>
      </w:pPr>
      <w:r>
        <w:t xml:space="preserve">Za datę złożenia oferty uważa się datę widoczną w systemie Baza Konkurencyjności. </w:t>
      </w:r>
    </w:p>
    <w:p w14:paraId="1ED5B7A3" w14:textId="7E2166B1" w:rsidR="00D172DB" w:rsidRDefault="00D172DB" w:rsidP="00357BE8">
      <w:pPr>
        <w:pStyle w:val="Akapitzlist"/>
        <w:numPr>
          <w:ilvl w:val="0"/>
          <w:numId w:val="13"/>
        </w:numPr>
      </w:pPr>
      <w:r>
        <w:t>Wykonawca po upływie terminu do składania ofert nie może skutecznie dokonać zmiany ani wycofać złożonej oferty.</w:t>
      </w:r>
    </w:p>
    <w:p w14:paraId="7136A726" w14:textId="77777777" w:rsidR="001D7781" w:rsidRPr="00D47602" w:rsidRDefault="001D7781" w:rsidP="00357BE8">
      <w:pPr>
        <w:pStyle w:val="Akapitzlist"/>
        <w:numPr>
          <w:ilvl w:val="0"/>
          <w:numId w:val="13"/>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357BE8">
      <w:pPr>
        <w:pStyle w:val="Akapitzlist"/>
        <w:numPr>
          <w:ilvl w:val="0"/>
          <w:numId w:val="13"/>
        </w:numPr>
        <w:spacing w:after="0"/>
        <w:rPr>
          <w:b/>
        </w:rPr>
      </w:pPr>
      <w:r w:rsidRPr="00D47602">
        <w:rPr>
          <w:b/>
        </w:rPr>
        <w:t xml:space="preserve">Oferty zaleca się sporządzić na załączonym formularzu. </w:t>
      </w:r>
    </w:p>
    <w:p w14:paraId="0C5B5435" w14:textId="77777777" w:rsidR="001D7781" w:rsidRPr="00D47602" w:rsidRDefault="001D7781" w:rsidP="00357BE8">
      <w:pPr>
        <w:pStyle w:val="Akapitzlist"/>
        <w:numPr>
          <w:ilvl w:val="0"/>
          <w:numId w:val="13"/>
        </w:numPr>
        <w:spacing w:after="0"/>
        <w:rPr>
          <w:b/>
        </w:rPr>
      </w:pPr>
      <w:r w:rsidRPr="00D47602">
        <w:rPr>
          <w:b/>
        </w:rPr>
        <w:t xml:space="preserve">Oferty zaleca się sporządzić pismem maszynowym lub komputerowym. </w:t>
      </w:r>
    </w:p>
    <w:p w14:paraId="26BA1A45" w14:textId="5A7C057F" w:rsidR="001D7781" w:rsidRPr="00D47602" w:rsidRDefault="001D7781" w:rsidP="00357BE8">
      <w:pPr>
        <w:pStyle w:val="Akapitzlist"/>
        <w:numPr>
          <w:ilvl w:val="0"/>
          <w:numId w:val="13"/>
        </w:numPr>
        <w:spacing w:after="0"/>
      </w:pPr>
      <w:r w:rsidRPr="00D47602">
        <w:t xml:space="preserve">Oferty należy złożyć z ceną wyrażoną w Polskich Złotych (PLN). </w:t>
      </w:r>
      <w:r w:rsidR="00F61B30">
        <w:t xml:space="preserve">Oferty złożone z ceną wyrażoną w innej walucie zostaną odrzucone.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357BE8">
      <w:pPr>
        <w:pStyle w:val="Akapitzlist"/>
        <w:numPr>
          <w:ilvl w:val="0"/>
          <w:numId w:val="15"/>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357BE8">
      <w:pPr>
        <w:pStyle w:val="Akapitzlist"/>
        <w:numPr>
          <w:ilvl w:val="0"/>
          <w:numId w:val="14"/>
        </w:numPr>
        <w:spacing w:after="0"/>
      </w:pPr>
      <w:r w:rsidRPr="006F2D2E">
        <w:t xml:space="preserve">Dokona oceny wszystkich złożonych ofert zgodnie z kryteriami oceny opisanymi </w:t>
      </w:r>
      <w:r>
        <w:t>ZO</w:t>
      </w:r>
    </w:p>
    <w:p w14:paraId="279ACA00" w14:textId="77777777" w:rsidR="00F7218E" w:rsidRPr="006F2D2E" w:rsidRDefault="00F7218E" w:rsidP="00357BE8">
      <w:pPr>
        <w:pStyle w:val="Akapitzlist"/>
        <w:numPr>
          <w:ilvl w:val="0"/>
          <w:numId w:val="14"/>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357BE8">
      <w:pPr>
        <w:pStyle w:val="Akapitzlist"/>
        <w:numPr>
          <w:ilvl w:val="0"/>
          <w:numId w:val="14"/>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357BE8">
      <w:pPr>
        <w:pStyle w:val="Akapitzlist"/>
        <w:numPr>
          <w:ilvl w:val="0"/>
          <w:numId w:val="14"/>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357BE8">
      <w:pPr>
        <w:pStyle w:val="Akapitzlist"/>
        <w:numPr>
          <w:ilvl w:val="0"/>
          <w:numId w:val="14"/>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357BE8">
      <w:pPr>
        <w:pStyle w:val="Akapitzlist"/>
        <w:numPr>
          <w:ilvl w:val="0"/>
          <w:numId w:val="15"/>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357BE8">
      <w:pPr>
        <w:pStyle w:val="Akapitzlist"/>
        <w:numPr>
          <w:ilvl w:val="0"/>
          <w:numId w:val="15"/>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t>Otwarcie ofert</w:t>
      </w:r>
    </w:p>
    <w:p w14:paraId="2B72581C" w14:textId="3D8B6921" w:rsidR="00883B48" w:rsidRDefault="00883B48" w:rsidP="00357BE8">
      <w:pPr>
        <w:pStyle w:val="Akapitzlist"/>
        <w:numPr>
          <w:ilvl w:val="0"/>
          <w:numId w:val="27"/>
        </w:numPr>
        <w:spacing w:after="0"/>
      </w:pPr>
      <w:r>
        <w:t>Otwarcie ofert nastąpi niezwłocznie po upływie terminu składania ofert wskazanego w pkt</w:t>
      </w:r>
      <w:r w:rsidR="002F048A">
        <w:t> </w:t>
      </w:r>
      <w:r>
        <w:t>7</w:t>
      </w:r>
      <w:r w:rsidR="002F048A">
        <w:t> </w:t>
      </w:r>
      <w:r>
        <w:t xml:space="preserve">zapytania Ofertowego. </w:t>
      </w:r>
    </w:p>
    <w:p w14:paraId="484ADE4B" w14:textId="52ECC84B" w:rsidR="001D7781" w:rsidRDefault="00883B48" w:rsidP="00357BE8">
      <w:pPr>
        <w:pStyle w:val="Akapitzlist"/>
        <w:numPr>
          <w:ilvl w:val="0"/>
          <w:numId w:val="27"/>
        </w:numPr>
        <w:spacing w:after="0"/>
      </w:pPr>
      <w:r>
        <w:t>W związku z prowadzeniem postępowania wyłącznie</w:t>
      </w:r>
      <w:r w:rsidR="00F82E4F">
        <w:t xml:space="preserve"> przy użyciu środków komunikacji elektronicznej Zamawiający nie przewiduje publicznego otwarcia ofert i prowadzenia transmisji z otwarcia ofert. </w:t>
      </w:r>
    </w:p>
    <w:p w14:paraId="2A751909" w14:textId="6DFBDC2F" w:rsidR="00F82E4F" w:rsidRDefault="00F82E4F" w:rsidP="00357BE8">
      <w:pPr>
        <w:pStyle w:val="Akapitzlist"/>
        <w:numPr>
          <w:ilvl w:val="0"/>
          <w:numId w:val="27"/>
        </w:numPr>
        <w:spacing w:after="0"/>
      </w:pPr>
      <w:r>
        <w:t xml:space="preserve">Informacja z otwarcia ofert będzie widoczna w Bazie Konkurencyjności, </w:t>
      </w:r>
    </w:p>
    <w:p w14:paraId="66897CEA" w14:textId="5A466A3E" w:rsidR="00C20D18" w:rsidRDefault="0029449B" w:rsidP="00134FCA">
      <w:pPr>
        <w:pStyle w:val="Nagwek1"/>
        <w:ind w:left="431" w:hanging="431"/>
      </w:pPr>
      <w:r w:rsidRPr="0029449B">
        <w:t>Termin związania ofertą</w:t>
      </w:r>
    </w:p>
    <w:p w14:paraId="471B82F1" w14:textId="2FCA6112" w:rsidR="00683E8E" w:rsidRPr="00683E8E" w:rsidRDefault="00683E8E" w:rsidP="00357BE8">
      <w:pPr>
        <w:pStyle w:val="Akapitzlist"/>
        <w:numPr>
          <w:ilvl w:val="0"/>
          <w:numId w:val="8"/>
        </w:numPr>
      </w:pPr>
      <w:r w:rsidRPr="00683E8E">
        <w:t xml:space="preserve">Termin związania ofertą wynosi </w:t>
      </w:r>
      <w:r w:rsidR="005D6B00">
        <w:t>3</w:t>
      </w:r>
      <w:r w:rsidRPr="00683E8E">
        <w:t>0 dni i rozpoczyna się wraz z upływem terminu składania ofert.</w:t>
      </w:r>
      <w:r w:rsidR="00994522">
        <w:t xml:space="preserve"> Oferty muszą zachować ważność do </w:t>
      </w:r>
      <w:r w:rsidR="008049CF">
        <w:rPr>
          <w:b/>
          <w:bCs/>
        </w:rPr>
        <w:t>10</w:t>
      </w:r>
      <w:r w:rsidR="00994522" w:rsidRPr="000263C1">
        <w:rPr>
          <w:b/>
          <w:bCs/>
        </w:rPr>
        <w:t>.</w:t>
      </w:r>
      <w:r w:rsidR="00994522">
        <w:rPr>
          <w:b/>
          <w:bCs/>
        </w:rPr>
        <w:t>0</w:t>
      </w:r>
      <w:r w:rsidR="008049CF">
        <w:rPr>
          <w:b/>
          <w:bCs/>
        </w:rPr>
        <w:t>8</w:t>
      </w:r>
      <w:r w:rsidR="00994522" w:rsidRPr="000263C1">
        <w:rPr>
          <w:b/>
          <w:bCs/>
        </w:rPr>
        <w:t>.202</w:t>
      </w:r>
      <w:r w:rsidR="00994522">
        <w:rPr>
          <w:b/>
          <w:bCs/>
        </w:rPr>
        <w:t>3</w:t>
      </w:r>
    </w:p>
    <w:p w14:paraId="057B3FB4" w14:textId="228B6133" w:rsidR="00683E8E" w:rsidRPr="00683E8E" w:rsidRDefault="00683E8E" w:rsidP="00357BE8">
      <w:pPr>
        <w:pStyle w:val="Akapitzlist"/>
        <w:numPr>
          <w:ilvl w:val="0"/>
          <w:numId w:val="8"/>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357BE8">
      <w:pPr>
        <w:pStyle w:val="Akapitzlist"/>
        <w:numPr>
          <w:ilvl w:val="0"/>
          <w:numId w:val="8"/>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 xml:space="preserve">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t>
      </w:r>
      <w:r>
        <w:lastRenderedPageBreak/>
        <w:t>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70852594" w14:textId="77777777" w:rsidR="00357BE8" w:rsidRDefault="00357BE8" w:rsidP="003D1B7D">
      <w:pPr>
        <w:tabs>
          <w:tab w:val="left" w:pos="284"/>
        </w:tabs>
        <w:spacing w:after="0" w:line="276" w:lineRule="auto"/>
        <w:rPr>
          <w:rFonts w:cs="Arial"/>
          <w:szCs w:val="20"/>
          <w:u w:val="single"/>
        </w:rPr>
      </w:pPr>
      <w:r w:rsidRPr="009729F4">
        <w:rPr>
          <w:rFonts w:cs="Arial"/>
          <w:szCs w:val="20"/>
          <w:u w:val="single"/>
        </w:rPr>
        <w:t>Terminy realizacji zamówienia:</w:t>
      </w:r>
    </w:p>
    <w:p w14:paraId="1C25F79D" w14:textId="77777777" w:rsidR="003148F3" w:rsidRDefault="003148F3" w:rsidP="003D1B7D">
      <w:pPr>
        <w:tabs>
          <w:tab w:val="left" w:pos="284"/>
        </w:tabs>
        <w:spacing w:after="0" w:line="276" w:lineRule="auto"/>
        <w:rPr>
          <w:rFonts w:cs="Arial"/>
          <w:szCs w:val="20"/>
          <w:u w:val="single"/>
        </w:rPr>
      </w:pPr>
    </w:p>
    <w:p w14:paraId="4D7CF47E" w14:textId="77777777" w:rsidR="00D43F10" w:rsidRDefault="003148F3" w:rsidP="003D1B7D">
      <w:pPr>
        <w:tabs>
          <w:tab w:val="left" w:pos="284"/>
        </w:tabs>
        <w:spacing w:after="0" w:line="276" w:lineRule="auto"/>
        <w:rPr>
          <w:rFonts w:cs="Arial"/>
          <w:szCs w:val="20"/>
        </w:rPr>
      </w:pPr>
      <w:r w:rsidRPr="003148F3">
        <w:rPr>
          <w:rFonts w:cs="Arial"/>
          <w:szCs w:val="20"/>
        </w:rPr>
        <w:t>Zamawi</w:t>
      </w:r>
      <w:r>
        <w:rPr>
          <w:rFonts w:cs="Arial"/>
          <w:szCs w:val="20"/>
        </w:rPr>
        <w:t xml:space="preserve">ający wymaga realizacji zamówienia w terminie </w:t>
      </w:r>
      <w:r w:rsidR="00D43F10">
        <w:rPr>
          <w:rFonts w:cs="Arial"/>
          <w:szCs w:val="20"/>
        </w:rPr>
        <w:t>nie krótszym niż 90 dni i nie dłuższym niż 150 dni od daty podpisania umowy.</w:t>
      </w:r>
    </w:p>
    <w:p w14:paraId="469E96C2" w14:textId="5653FAE6" w:rsidR="003148F3" w:rsidRPr="003148F3" w:rsidRDefault="00D43F10" w:rsidP="003D1B7D">
      <w:pPr>
        <w:tabs>
          <w:tab w:val="left" w:pos="284"/>
        </w:tabs>
        <w:spacing w:after="0" w:line="276" w:lineRule="auto"/>
        <w:rPr>
          <w:rFonts w:eastAsia="Calibri" w:cs="Arial"/>
          <w:szCs w:val="20"/>
        </w:rPr>
      </w:pPr>
      <w:r>
        <w:rPr>
          <w:rFonts w:cs="Arial"/>
          <w:szCs w:val="20"/>
        </w:rPr>
        <w:t xml:space="preserve">Ostateczny termin realizacji umowy ustala Wykonawca i deklaruje go w formularzu ofertowym. </w:t>
      </w:r>
      <w:r w:rsidR="00C5409B">
        <w:rPr>
          <w:rFonts w:cs="Arial"/>
          <w:szCs w:val="20"/>
        </w:rPr>
        <w:t xml:space="preserve"> </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792E2B17"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r w:rsidR="004A6F60">
        <w:t>.</w:t>
      </w:r>
    </w:p>
    <w:p w14:paraId="306B5F04" w14:textId="49B1DDC0" w:rsidR="00E317F0" w:rsidRDefault="007E17BB" w:rsidP="00043181">
      <w:pPr>
        <w:pStyle w:val="Nagwek1"/>
      </w:pPr>
      <w:r w:rsidRPr="007E17BB">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357BE8">
      <w:pPr>
        <w:pStyle w:val="Akapitzlist"/>
        <w:numPr>
          <w:ilvl w:val="0"/>
          <w:numId w:val="23"/>
        </w:numPr>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357BE8">
      <w:pPr>
        <w:pStyle w:val="Akapitzlist"/>
        <w:numPr>
          <w:ilvl w:val="0"/>
          <w:numId w:val="23"/>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357BE8">
      <w:pPr>
        <w:pStyle w:val="Akapitzlist"/>
        <w:numPr>
          <w:ilvl w:val="0"/>
          <w:numId w:val="23"/>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357BE8">
      <w:pPr>
        <w:pStyle w:val="Akapitzlist"/>
        <w:numPr>
          <w:ilvl w:val="0"/>
          <w:numId w:val="23"/>
        </w:numPr>
      </w:pPr>
      <w:r>
        <w:lastRenderedPageBreak/>
        <w:t xml:space="preserve">Oferta winna być podpisana przez każdego partnera konsorcjum/wspólnika spółki cywilnej lub przez ustanowionego pełnomocnika. </w:t>
      </w:r>
    </w:p>
    <w:p w14:paraId="0EBD3B52" w14:textId="7298318A" w:rsidR="00881746" w:rsidRDefault="00881746" w:rsidP="00357BE8">
      <w:pPr>
        <w:pStyle w:val="Akapitzlist"/>
        <w:numPr>
          <w:ilvl w:val="0"/>
          <w:numId w:val="23"/>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357BE8">
      <w:pPr>
        <w:pStyle w:val="Akapitzlist"/>
        <w:numPr>
          <w:ilvl w:val="0"/>
          <w:numId w:val="23"/>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357BE8">
      <w:pPr>
        <w:pStyle w:val="Akapitzlist"/>
        <w:numPr>
          <w:ilvl w:val="0"/>
          <w:numId w:val="23"/>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357BE8">
      <w:pPr>
        <w:pStyle w:val="Akapitzlist"/>
        <w:numPr>
          <w:ilvl w:val="0"/>
          <w:numId w:val="23"/>
        </w:numPr>
      </w:pPr>
      <w:r>
        <w:t>Wykonawcy występujący wspólnie ponoszą solidarną odpowiedzialność wobec Zamawiającego za wykonanie umowy i wniesienie zabezpieczenia należytego wykonania umowy.</w:t>
      </w:r>
    </w:p>
    <w:p w14:paraId="245B4180" w14:textId="77777777" w:rsidR="0025555B" w:rsidRDefault="00881746" w:rsidP="00357BE8">
      <w:pPr>
        <w:pStyle w:val="Akapitzlist"/>
        <w:numPr>
          <w:ilvl w:val="0"/>
          <w:numId w:val="23"/>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357BE8">
      <w:pPr>
        <w:pStyle w:val="Akapitzlist"/>
        <w:numPr>
          <w:ilvl w:val="0"/>
          <w:numId w:val="23"/>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357BE8">
      <w:pPr>
        <w:pStyle w:val="Akapitzlist"/>
        <w:numPr>
          <w:ilvl w:val="0"/>
          <w:numId w:val="24"/>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357BE8">
      <w:pPr>
        <w:pStyle w:val="Akapitzlist"/>
        <w:numPr>
          <w:ilvl w:val="0"/>
          <w:numId w:val="24"/>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357BE8">
      <w:pPr>
        <w:pStyle w:val="Akapitzlist"/>
        <w:numPr>
          <w:ilvl w:val="0"/>
          <w:numId w:val="24"/>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76C7814B" w:rsidR="004D1157" w:rsidRDefault="004D1157" w:rsidP="00357BE8">
      <w:pPr>
        <w:pStyle w:val="Akapitzlist"/>
        <w:numPr>
          <w:ilvl w:val="0"/>
          <w:numId w:val="25"/>
        </w:numPr>
      </w:pPr>
      <w:r>
        <w:t xml:space="preserve">Wykonawca zobowiązany jest do wniesienia przed upływem terminu składania ofert oznaczonego datą i godziną, wadium w wysokości </w:t>
      </w:r>
      <w:r w:rsidR="00C307D2">
        <w:t>2</w:t>
      </w:r>
      <w:r w:rsidRPr="004D1157">
        <w:rPr>
          <w:b/>
          <w:bCs/>
        </w:rPr>
        <w:t xml:space="preserve"> 000,00 zł (słownie: </w:t>
      </w:r>
      <w:r w:rsidR="00C307D2">
        <w:rPr>
          <w:b/>
          <w:bCs/>
        </w:rPr>
        <w:t>dwa</w:t>
      </w:r>
      <w:r w:rsidRPr="004D1157">
        <w:rPr>
          <w:b/>
          <w:bCs/>
        </w:rPr>
        <w:t xml:space="preserve"> tysi</w:t>
      </w:r>
      <w:r w:rsidR="00C307D2">
        <w:rPr>
          <w:b/>
          <w:bCs/>
        </w:rPr>
        <w:t>ące</w:t>
      </w:r>
      <w:r w:rsidRPr="004D1157">
        <w:rPr>
          <w:b/>
          <w:bCs/>
        </w:rPr>
        <w:t xml:space="preserve"> złotych).</w:t>
      </w:r>
      <w:r>
        <w:t xml:space="preserve"> Niewniesienie wadium do upływu wyznaczonego terminu (oznaczonego datą i godziną) skutkuje odrzuceniem oferty. </w:t>
      </w:r>
    </w:p>
    <w:p w14:paraId="651B3DEB" w14:textId="7BBD895E" w:rsidR="004D1157" w:rsidRDefault="004D1157" w:rsidP="00357BE8">
      <w:pPr>
        <w:pStyle w:val="Akapitzlist"/>
        <w:numPr>
          <w:ilvl w:val="0"/>
          <w:numId w:val="25"/>
        </w:numPr>
      </w:pPr>
      <w:r>
        <w:t xml:space="preserve">Wadium może być wnoszone w jednej lub kilku następujących formach: </w:t>
      </w:r>
    </w:p>
    <w:p w14:paraId="61233B42" w14:textId="0E203949" w:rsidR="004D1157" w:rsidRDefault="004D1157" w:rsidP="00357BE8">
      <w:pPr>
        <w:pStyle w:val="Akapitzlist"/>
        <w:numPr>
          <w:ilvl w:val="1"/>
          <w:numId w:val="25"/>
        </w:numPr>
      </w:pPr>
      <w:r>
        <w:t xml:space="preserve">pieniądzu; </w:t>
      </w:r>
    </w:p>
    <w:p w14:paraId="1FA5397B" w14:textId="18475179" w:rsidR="004D1157" w:rsidRDefault="004D1157" w:rsidP="00357BE8">
      <w:pPr>
        <w:pStyle w:val="Akapitzlist"/>
        <w:numPr>
          <w:ilvl w:val="1"/>
          <w:numId w:val="25"/>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357BE8">
      <w:pPr>
        <w:pStyle w:val="Akapitzlist"/>
        <w:numPr>
          <w:ilvl w:val="1"/>
          <w:numId w:val="25"/>
        </w:numPr>
      </w:pPr>
      <w:r>
        <w:t xml:space="preserve">gwarancjach bankowych; </w:t>
      </w:r>
    </w:p>
    <w:p w14:paraId="7205F17E" w14:textId="5EE06346" w:rsidR="004D1157" w:rsidRDefault="004D1157" w:rsidP="00357BE8">
      <w:pPr>
        <w:pStyle w:val="Akapitzlist"/>
        <w:numPr>
          <w:ilvl w:val="1"/>
          <w:numId w:val="25"/>
        </w:numPr>
      </w:pPr>
      <w:r>
        <w:t xml:space="preserve">gwarancjach ubezpieczeniowych; </w:t>
      </w:r>
    </w:p>
    <w:p w14:paraId="690E55F3" w14:textId="239F8DC2" w:rsidR="004D1157" w:rsidRDefault="004D1157" w:rsidP="00357BE8">
      <w:pPr>
        <w:pStyle w:val="Akapitzlist"/>
        <w:numPr>
          <w:ilvl w:val="1"/>
          <w:numId w:val="25"/>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357BE8">
      <w:pPr>
        <w:pStyle w:val="Akapitzlist"/>
        <w:numPr>
          <w:ilvl w:val="0"/>
          <w:numId w:val="25"/>
        </w:numPr>
      </w:pPr>
      <w:r>
        <w:t xml:space="preserve">Wniesione wadium musi zabezpieczać ofertę Wykonawcy przez cały okres związania ofertą. </w:t>
      </w:r>
    </w:p>
    <w:p w14:paraId="48C2F98D" w14:textId="72F3BA50" w:rsidR="004D1157" w:rsidRDefault="004D1157" w:rsidP="00357BE8">
      <w:pPr>
        <w:pStyle w:val="Akapitzlist"/>
        <w:numPr>
          <w:ilvl w:val="0"/>
          <w:numId w:val="25"/>
        </w:numPr>
      </w:pPr>
      <w:r>
        <w:t xml:space="preserve">Wadium wnoszone w pieniądzu należy wpłacić przelewem na rachunek bankowy Zamawiającego o numerze: </w:t>
      </w:r>
      <w:r w:rsidR="001E0B7F" w:rsidRPr="001E0B7F">
        <w:rPr>
          <w:b/>
          <w:bCs/>
        </w:rPr>
        <w:t>82 1240 4751 1111 0010 9457 0691</w:t>
      </w:r>
    </w:p>
    <w:p w14:paraId="5D76D1C2" w14:textId="61BE1999" w:rsidR="004D1157" w:rsidRDefault="004D1157" w:rsidP="00357BE8">
      <w:pPr>
        <w:pStyle w:val="Akapitzlist"/>
        <w:numPr>
          <w:ilvl w:val="0"/>
          <w:numId w:val="25"/>
        </w:numPr>
      </w:pPr>
      <w:r>
        <w:t xml:space="preserve">W przypadku wniesienia wadium w pieniądzu, Zamawiający uzna, iż będzie ono wniesione skutecznie jedynie w przypadku zaksięgowania środków pieniężnych na rachunku Zamawiającego przed upływem terminu składania ofert (oznaczonego datą i godziną). W tytule przelewu należy zamieścić adnotację: </w:t>
      </w:r>
      <w:r w:rsidRPr="65E2856D">
        <w:rPr>
          <w:b/>
          <w:bCs/>
        </w:rPr>
        <w:t>„Wadium –</w:t>
      </w:r>
      <w:r w:rsidR="007F5835">
        <w:rPr>
          <w:b/>
          <w:bCs/>
        </w:rPr>
        <w:t xml:space="preserve"> </w:t>
      </w:r>
      <w:r w:rsidR="00C307D2">
        <w:rPr>
          <w:b/>
          <w:bCs/>
        </w:rPr>
        <w:t>jednolite standardy</w:t>
      </w:r>
      <w:r>
        <w:t>”</w:t>
      </w:r>
    </w:p>
    <w:p w14:paraId="3259D738" w14:textId="4F828A67" w:rsidR="004D1157" w:rsidRDefault="004D1157" w:rsidP="00357BE8">
      <w:pPr>
        <w:pStyle w:val="Akapitzlist"/>
        <w:numPr>
          <w:ilvl w:val="0"/>
          <w:numId w:val="25"/>
        </w:numPr>
      </w:pPr>
      <w:r>
        <w:t xml:space="preserve">Wykonawca zobowiązany jest dołączyć </w:t>
      </w:r>
      <w:r w:rsidRPr="00D37790">
        <w:t>do oferty dokument</w:t>
      </w:r>
      <w:r w:rsidR="005034BC" w:rsidRPr="00D37790">
        <w:t xml:space="preserve"> potwierdzający wniesieni</w:t>
      </w:r>
      <w:r w:rsidR="00CC3BD5">
        <w:t>e</w:t>
      </w:r>
      <w:r w:rsidR="005034BC" w:rsidRPr="00D37790">
        <w:t xml:space="preserve"> </w:t>
      </w:r>
      <w:r w:rsidRPr="00D37790">
        <w:t xml:space="preserve">wadium. </w:t>
      </w:r>
    </w:p>
    <w:p w14:paraId="7959D871" w14:textId="40FF1D71" w:rsidR="00DD4C84" w:rsidRDefault="004D1157" w:rsidP="00357BE8">
      <w:pPr>
        <w:pStyle w:val="Akapitzlist"/>
        <w:numPr>
          <w:ilvl w:val="0"/>
          <w:numId w:val="25"/>
        </w:numPr>
      </w:pPr>
      <w:r>
        <w:t xml:space="preserve">W przypadku wniesienia wadium w formach wskazanych w pkt </w:t>
      </w:r>
      <w:r w:rsidR="00FA5F02">
        <w:t>15</w:t>
      </w:r>
      <w:r>
        <w:t>.</w:t>
      </w:r>
      <w:r w:rsidR="00FA5F02">
        <w:t xml:space="preserve"> </w:t>
      </w:r>
      <w:proofErr w:type="spellStart"/>
      <w:r w:rsidR="00FA5F02">
        <w:t>ppkt</w:t>
      </w:r>
      <w:proofErr w:type="spellEnd"/>
      <w:r>
        <w:t xml:space="preserve"> 2 </w:t>
      </w:r>
      <w:r w:rsidR="00FA5F02">
        <w:t xml:space="preserve">lit. </w:t>
      </w:r>
      <w:r w:rsidR="00DD4C84">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004D1157" w:rsidP="00357BE8">
      <w:pPr>
        <w:pStyle w:val="Akapitzlist"/>
        <w:numPr>
          <w:ilvl w:val="1"/>
          <w:numId w:val="25"/>
        </w:numPr>
      </w:pPr>
      <w:r>
        <w:t>odmówił podpisania umowy w sprawie zamówienia na warunkach określonych w ofercie;</w:t>
      </w:r>
    </w:p>
    <w:p w14:paraId="271C5762" w14:textId="77777777" w:rsidR="00DD4C84" w:rsidRDefault="004D1157" w:rsidP="00357BE8">
      <w:pPr>
        <w:pStyle w:val="Akapitzlist"/>
        <w:numPr>
          <w:ilvl w:val="1"/>
          <w:numId w:val="25"/>
        </w:numPr>
      </w:pPr>
      <w:r>
        <w:t xml:space="preserve">nie wniósł wymaganego zabezpieczenia należytego wykonania umowy; </w:t>
      </w:r>
    </w:p>
    <w:p w14:paraId="1326C27F" w14:textId="11102158" w:rsidR="004D1157" w:rsidRDefault="004D1157" w:rsidP="00357BE8">
      <w:pPr>
        <w:pStyle w:val="Akapitzlist"/>
        <w:numPr>
          <w:ilvl w:val="1"/>
          <w:numId w:val="25"/>
        </w:numPr>
      </w:pPr>
      <w:r>
        <w:t>zawarcie umowy w sprawie zamówienia stało się niemożliwe z przyczyn leżących po stronie wykonawcy.</w:t>
      </w:r>
    </w:p>
    <w:p w14:paraId="51004F9D" w14:textId="00EDC12C" w:rsidR="004D1157" w:rsidRDefault="004D1157" w:rsidP="00357BE8">
      <w:pPr>
        <w:pStyle w:val="Akapitzlist"/>
        <w:numPr>
          <w:ilvl w:val="0"/>
          <w:numId w:val="25"/>
        </w:numPr>
      </w:pPr>
      <w:r>
        <w:lastRenderedPageBreak/>
        <w:t xml:space="preserve">Potwierdzeniem wniesienia wadium w jednej z form określonych w </w:t>
      </w:r>
      <w:r w:rsidR="00DC7FC2">
        <w:t xml:space="preserve">pkt </w:t>
      </w:r>
      <w:r w:rsidR="00DD4C84">
        <w:t xml:space="preserve">15. </w:t>
      </w:r>
      <w:proofErr w:type="spellStart"/>
      <w:r w:rsidR="00DD4C84">
        <w:t>ppkt</w:t>
      </w:r>
      <w:proofErr w:type="spellEnd"/>
      <w:r w:rsidR="00DD4C84">
        <w:t xml:space="preserve"> 2 lit. b. – e., </w:t>
      </w:r>
      <w:r>
        <w:t>jest oryginalny dokument banku, ubezpieczyciela lub poręczyciela, wystawiony na Zamawiającego,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00DD4C84" w:rsidP="00357BE8">
      <w:pPr>
        <w:pStyle w:val="Akapitzlist"/>
        <w:numPr>
          <w:ilvl w:val="0"/>
          <w:numId w:val="25"/>
        </w:numPr>
      </w:pPr>
      <w:r>
        <w:t>Zamawiający dopuszcza przedstawienie dokumentu wadium podpisanego podpisem kwalifikowanym przez Wystawiającego.</w:t>
      </w:r>
    </w:p>
    <w:p w14:paraId="13FB0CD5" w14:textId="0A8EA835" w:rsidR="004D1157" w:rsidRDefault="004D1157" w:rsidP="00357BE8">
      <w:pPr>
        <w:pStyle w:val="Akapitzlist"/>
        <w:numPr>
          <w:ilvl w:val="0"/>
          <w:numId w:val="25"/>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00DD4C84">
        <w:t>12</w:t>
      </w:r>
      <w:r>
        <w:t xml:space="preserve"> poniżej.</w:t>
      </w:r>
    </w:p>
    <w:p w14:paraId="21281635" w14:textId="330CAFBF" w:rsidR="004D1157" w:rsidRDefault="004D1157" w:rsidP="00357BE8">
      <w:pPr>
        <w:pStyle w:val="Akapitzlist"/>
        <w:numPr>
          <w:ilvl w:val="0"/>
          <w:numId w:val="25"/>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004D1157" w:rsidP="00357BE8">
      <w:pPr>
        <w:pStyle w:val="Akapitzlist"/>
        <w:numPr>
          <w:ilvl w:val="0"/>
          <w:numId w:val="25"/>
        </w:numPr>
      </w:pPr>
      <w:r>
        <w:t>Zamawiający zwraca niezwłocznie wadium na wniosek wykonawcy, który wycofał ofertę przed upływem terminu składania ofert.</w:t>
      </w:r>
    </w:p>
    <w:p w14:paraId="0D362BEB" w14:textId="1124F294" w:rsidR="004D1157" w:rsidRDefault="004D1157" w:rsidP="00357BE8">
      <w:pPr>
        <w:pStyle w:val="Akapitzlist"/>
        <w:numPr>
          <w:ilvl w:val="0"/>
          <w:numId w:val="25"/>
        </w:numPr>
      </w:pPr>
      <w:r>
        <w:t>Zamawiający zatrzyma wadium, jeżeli Wykonawca, którego oferta została wybrana:</w:t>
      </w:r>
    </w:p>
    <w:p w14:paraId="723F93E2" w14:textId="762FB1EC" w:rsidR="004D1157" w:rsidRDefault="004D1157" w:rsidP="00357BE8">
      <w:pPr>
        <w:pStyle w:val="Akapitzlist"/>
        <w:numPr>
          <w:ilvl w:val="1"/>
          <w:numId w:val="25"/>
        </w:numPr>
      </w:pPr>
      <w:r>
        <w:t>odmówił podpisania umowy w sprawie zamówienia na warunkach określonych w ofercie;</w:t>
      </w:r>
    </w:p>
    <w:p w14:paraId="0C194A2D" w14:textId="3756C60A" w:rsidR="004D1157" w:rsidRDefault="004D1157" w:rsidP="00357BE8">
      <w:pPr>
        <w:pStyle w:val="Akapitzlist"/>
        <w:numPr>
          <w:ilvl w:val="1"/>
          <w:numId w:val="25"/>
        </w:numPr>
      </w:pPr>
      <w:r>
        <w:t>nie wniósł zabezpieczenia należytego wykonania umowy;</w:t>
      </w:r>
    </w:p>
    <w:p w14:paraId="413F6A9A" w14:textId="4CB86BB1" w:rsidR="004D1157" w:rsidRDefault="004D1157" w:rsidP="00357BE8">
      <w:pPr>
        <w:pStyle w:val="Akapitzlist"/>
        <w:numPr>
          <w:ilvl w:val="1"/>
          <w:numId w:val="25"/>
        </w:numPr>
      </w:pPr>
      <w:r>
        <w:t>zawarcie umowy w sprawie zamówienia publicznego stało się niemożliwe z przyczyn leżących po stronie Wykonawcy.</w:t>
      </w:r>
    </w:p>
    <w:p w14:paraId="38E97003" w14:textId="4B71EEE1" w:rsidR="004D1157" w:rsidRDefault="004D1157" w:rsidP="00357BE8">
      <w:pPr>
        <w:pStyle w:val="Akapitzlist"/>
        <w:numPr>
          <w:ilvl w:val="0"/>
          <w:numId w:val="25"/>
        </w:numPr>
      </w:pPr>
      <w:r>
        <w:t xml:space="preserve">Wadium jest nieoprocentowane, na co Wykonawca wyraża zgodę przystępując do składania ofert. </w:t>
      </w:r>
    </w:p>
    <w:p w14:paraId="4118A59A" w14:textId="020AF5C1" w:rsidR="004D1157" w:rsidRDefault="004D1157" w:rsidP="00357BE8">
      <w:pPr>
        <w:pStyle w:val="Akapitzlist"/>
        <w:numPr>
          <w:ilvl w:val="0"/>
          <w:numId w:val="25"/>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t>Przetwarzanie danych osobowych</w:t>
      </w:r>
    </w:p>
    <w:p w14:paraId="5C8C5C03" w14:textId="77777777"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7F4428B" w14:textId="77777777" w:rsidR="00467C03" w:rsidRPr="00467C03" w:rsidRDefault="00467C03" w:rsidP="00357BE8">
      <w:pPr>
        <w:pStyle w:val="Akapitzlist"/>
        <w:numPr>
          <w:ilvl w:val="0"/>
          <w:numId w:val="9"/>
        </w:numPr>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50A9B6DF" w14:textId="26832722" w:rsidR="00467C03" w:rsidRPr="00467C03" w:rsidRDefault="1F907EAF" w:rsidP="00357BE8">
      <w:pPr>
        <w:pStyle w:val="Akapitzlist"/>
        <w:numPr>
          <w:ilvl w:val="0"/>
          <w:numId w:val="9"/>
        </w:numPr>
      </w:pPr>
      <w:r>
        <w:t>A</w:t>
      </w:r>
      <w:r w:rsidR="00467C03">
        <w:t>dministratorem</w:t>
      </w:r>
      <w:r>
        <w:t xml:space="preserve"> </w:t>
      </w:r>
      <w:r w:rsidR="00467C03">
        <w:t xml:space="preserve">Pani/Pana danych osobowych jest </w:t>
      </w:r>
      <w:proofErr w:type="spellStart"/>
      <w:r w:rsidR="005D4FAA" w:rsidRPr="005D4FAA">
        <w:t>Polgrys</w:t>
      </w:r>
      <w:proofErr w:type="spellEnd"/>
      <w:r w:rsidR="005D4FAA" w:rsidRPr="005D4FAA">
        <w:t xml:space="preserve"> Sp. z o.o. Sp. k.  z siedzibą w ul. Dominikańska 25, 35-077 Rzeszów, NIP: 813-366-67-94, REGON: 180770801 Kontakt do administratora: adres e-mail:  biuro@polgrys.pl lub listownie na wyżej podany adres</w:t>
      </w:r>
      <w:r w:rsidR="00467C03">
        <w:t>.</w:t>
      </w:r>
    </w:p>
    <w:p w14:paraId="19D963D4" w14:textId="15355595" w:rsidR="00467C03" w:rsidRPr="00467C03" w:rsidRDefault="00467C03" w:rsidP="00357BE8">
      <w:pPr>
        <w:pStyle w:val="Akapitzlist"/>
        <w:numPr>
          <w:ilvl w:val="0"/>
          <w:numId w:val="9"/>
        </w:numPr>
      </w:pPr>
      <w:r>
        <w:t xml:space="preserve">Pani/Pana dane osobowe przetwarzane będą na podstawie art. 6 ust. 1 lit. c RODO w celu związanym z postępowaniem o udzielenie </w:t>
      </w:r>
      <w:r w:rsidR="005D4FAA">
        <w:t>niniejszego</w:t>
      </w:r>
      <w:r w:rsidR="00D211F5">
        <w:t xml:space="preserve"> </w:t>
      </w:r>
      <w:r>
        <w:t>zamówienia prowadzonego w trybie zapytania ofertowego</w:t>
      </w:r>
    </w:p>
    <w:p w14:paraId="43D77530" w14:textId="77777777" w:rsidR="00467C03" w:rsidRPr="00467C03" w:rsidRDefault="00467C03" w:rsidP="00357BE8">
      <w:pPr>
        <w:pStyle w:val="Akapitzlist"/>
        <w:numPr>
          <w:ilvl w:val="0"/>
          <w:numId w:val="9"/>
        </w:numPr>
        <w:rPr>
          <w:lang w:val="x-none"/>
        </w:rPr>
      </w:pPr>
      <w:r w:rsidRPr="00467C03">
        <w:rPr>
          <w:lang w:val="x-none"/>
        </w:rPr>
        <w:t xml:space="preserve">odbiorcami Pani/Pana danych osobowych będą osoby lub podmioty, którym udostępniona zostanie dokumentacja postępowania ofertowego, prowadzonego w trybie zasady konkurencyjności, </w:t>
      </w:r>
    </w:p>
    <w:p w14:paraId="3BB77C9E" w14:textId="18008519" w:rsidR="00467C03" w:rsidRPr="00467C03" w:rsidRDefault="00467C03" w:rsidP="00357BE8">
      <w:pPr>
        <w:pStyle w:val="Akapitzlist"/>
        <w:numPr>
          <w:ilvl w:val="0"/>
          <w:numId w:val="9"/>
        </w:numPr>
      </w:pPr>
      <w:r w:rsidRPr="00467C03">
        <w:t>uwagi na fakt, iż niniejsze postępowanie toczy się na podstawie norm obowiązujących w ramach</w:t>
      </w:r>
      <w:r w:rsidRPr="00467C03">
        <w:rPr>
          <w:lang w:val="x-none"/>
        </w:rPr>
        <w:t xml:space="preserve"> </w:t>
      </w:r>
      <w:r w:rsidR="005D4FAA">
        <w:t>Programu Operacyjnego Polska Wschodn</w:t>
      </w:r>
      <w:r w:rsidR="00836CC1">
        <w:t>i</w:t>
      </w:r>
      <w:r w:rsidR="005D4FAA">
        <w:t>a</w:t>
      </w:r>
      <w:r w:rsidRPr="00467C03">
        <w:t xml:space="preserve"> dane osobowe Wykonawcy objęte są przepisami o dostępie do informacji publicznej, tym samym mogą zostać udostępnione podmiotom, które na </w:t>
      </w:r>
      <w:r w:rsidRPr="00467C03">
        <w:lastRenderedPageBreak/>
        <w:t xml:space="preserve">podstawie powyższej regulacji zwrócą się o ich udostępnienie, a ponadto zostaną udostępnione instytucjom i podmiotom zaangażowanym w proces realizacji </w:t>
      </w:r>
      <w:r w:rsidR="00836CC1">
        <w:t>Programu Operacyjnego Polska Wschodnia</w:t>
      </w:r>
      <w:r w:rsidRPr="00467C03">
        <w:t>,</w:t>
      </w:r>
    </w:p>
    <w:p w14:paraId="09348C7F" w14:textId="40DFB021" w:rsidR="00467C03" w:rsidRPr="00467C03" w:rsidRDefault="00467C03" w:rsidP="00357BE8">
      <w:pPr>
        <w:pStyle w:val="Akapitzlist"/>
        <w:numPr>
          <w:ilvl w:val="0"/>
          <w:numId w:val="9"/>
        </w:numPr>
        <w:rPr>
          <w:lang w:val="x-none"/>
        </w:rPr>
      </w:pPr>
      <w:r w:rsidRPr="00467C03">
        <w:rPr>
          <w:lang w:val="x-none"/>
        </w:rPr>
        <w:t>Pani/Pana dane osobowe w celach archiwizacyjnych będą przechowywane przez okres realizacji, trwałości oraz okres przechowywania dokumentacji związanej z realizacją projektu,</w:t>
      </w:r>
    </w:p>
    <w:p w14:paraId="3FFEA879" w14:textId="77777777" w:rsidR="00467C03" w:rsidRPr="00467C03" w:rsidRDefault="00467C03" w:rsidP="00357BE8">
      <w:pPr>
        <w:pStyle w:val="Akapitzlist"/>
        <w:numPr>
          <w:ilvl w:val="0"/>
          <w:numId w:val="9"/>
        </w:numPr>
        <w:rPr>
          <w:lang w:val="x-none"/>
        </w:rPr>
      </w:pPr>
      <w:r w:rsidRPr="00467C03">
        <w:rPr>
          <w:lang w:val="x-none"/>
        </w:rPr>
        <w:t>Pani/Pana dane osobowe nie będą przetwarzane w sposób zautomatyzowany i nie będą profilowane,</w:t>
      </w:r>
    </w:p>
    <w:p w14:paraId="2791F69C" w14:textId="77777777" w:rsidR="00467C03" w:rsidRPr="00467C03" w:rsidRDefault="00467C03" w:rsidP="00357BE8">
      <w:pPr>
        <w:pStyle w:val="Akapitzlist"/>
        <w:numPr>
          <w:ilvl w:val="0"/>
          <w:numId w:val="9"/>
        </w:numPr>
        <w:rPr>
          <w:lang w:val="x-none"/>
        </w:rPr>
      </w:pPr>
      <w:r w:rsidRPr="00467C03">
        <w:rPr>
          <w:lang w:val="x-none"/>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00357BE8">
      <w:pPr>
        <w:pStyle w:val="Akapitzlist"/>
        <w:numPr>
          <w:ilvl w:val="0"/>
          <w:numId w:val="9"/>
        </w:numPr>
        <w:rPr>
          <w:lang w:val="x-none"/>
        </w:rPr>
      </w:pPr>
      <w:r w:rsidRPr="00467C03">
        <w:rPr>
          <w:lang w:val="x-none"/>
        </w:rPr>
        <w:t>w odniesieniu do Pani/Pana danych osobowych decyzje nie będą podejmowane w sposób zautomatyzowany, stosownie do art. 22 RODO,</w:t>
      </w:r>
    </w:p>
    <w:p w14:paraId="3512574A" w14:textId="77777777" w:rsidR="00467C03" w:rsidRPr="00467C03" w:rsidRDefault="00467C03" w:rsidP="00357BE8">
      <w:pPr>
        <w:pStyle w:val="Akapitzlist"/>
        <w:numPr>
          <w:ilvl w:val="0"/>
          <w:numId w:val="9"/>
        </w:numPr>
        <w:rPr>
          <w:lang w:val="x-none"/>
        </w:rPr>
      </w:pPr>
      <w:r w:rsidRPr="00467C03">
        <w:rPr>
          <w:lang w:val="x-none"/>
        </w:rPr>
        <w:t>posiada Pani/Pan:</w:t>
      </w:r>
    </w:p>
    <w:p w14:paraId="1BAB8AE6" w14:textId="6183EE01" w:rsidR="00467C03" w:rsidRPr="00467C03" w:rsidRDefault="00467C03" w:rsidP="00357BE8">
      <w:pPr>
        <w:pStyle w:val="Akapitzlist"/>
        <w:numPr>
          <w:ilvl w:val="1"/>
          <w:numId w:val="9"/>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357BE8">
      <w:pPr>
        <w:pStyle w:val="Akapitzlist"/>
        <w:numPr>
          <w:ilvl w:val="1"/>
          <w:numId w:val="9"/>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357BE8">
      <w:pPr>
        <w:pStyle w:val="Akapitzlist"/>
        <w:numPr>
          <w:ilvl w:val="1"/>
          <w:numId w:val="9"/>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357BE8">
      <w:pPr>
        <w:pStyle w:val="Akapitzlist"/>
        <w:numPr>
          <w:ilvl w:val="1"/>
          <w:numId w:val="9"/>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357BE8">
      <w:pPr>
        <w:pStyle w:val="Akapitzlist"/>
        <w:numPr>
          <w:ilvl w:val="0"/>
          <w:numId w:val="9"/>
        </w:numPr>
        <w:rPr>
          <w:lang w:val="x-none"/>
        </w:rPr>
      </w:pPr>
      <w:r w:rsidRPr="00467C03">
        <w:rPr>
          <w:lang w:val="x-none"/>
        </w:rPr>
        <w:t>nie przysługuje Pani/Panu:</w:t>
      </w:r>
    </w:p>
    <w:p w14:paraId="4A214B4E" w14:textId="77777777" w:rsidR="00467C03" w:rsidRPr="00467C03" w:rsidRDefault="00467C03" w:rsidP="00357BE8">
      <w:pPr>
        <w:pStyle w:val="Akapitzlist"/>
        <w:numPr>
          <w:ilvl w:val="1"/>
          <w:numId w:val="9"/>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357BE8">
      <w:pPr>
        <w:pStyle w:val="Akapitzlist"/>
        <w:numPr>
          <w:ilvl w:val="1"/>
          <w:numId w:val="9"/>
        </w:numPr>
        <w:rPr>
          <w:lang w:val="x-none"/>
        </w:rPr>
      </w:pPr>
      <w:r w:rsidRPr="00467C03">
        <w:rPr>
          <w:lang w:val="x-none"/>
        </w:rPr>
        <w:t xml:space="preserve">prawo do przenoszenia danych osobowych, o którym mowa w art. 20 RODO, </w:t>
      </w:r>
    </w:p>
    <w:p w14:paraId="52F44C6D" w14:textId="77777777" w:rsidR="00467C03" w:rsidRPr="00467C03" w:rsidRDefault="00467C03" w:rsidP="00357BE8">
      <w:pPr>
        <w:pStyle w:val="Akapitzlist"/>
        <w:numPr>
          <w:ilvl w:val="1"/>
          <w:numId w:val="9"/>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45955BD4" w14:textId="4D6E9492" w:rsidR="003C3107" w:rsidRDefault="003C3107" w:rsidP="003C3107"/>
    <w:p w14:paraId="2809D8E2" w14:textId="7EAE41ED" w:rsidR="00610CCB" w:rsidRDefault="0063742F" w:rsidP="003C3107">
      <w:pPr>
        <w:pStyle w:val="Nagwek1"/>
      </w:pPr>
      <w:r w:rsidRPr="0063742F">
        <w:t>Unieważnienie postępowania</w:t>
      </w:r>
    </w:p>
    <w:p w14:paraId="728E1253" w14:textId="1D92A471" w:rsidR="00B96CFF" w:rsidRDefault="00B96CFF" w:rsidP="00357BE8">
      <w:pPr>
        <w:pStyle w:val="Akapitzlist"/>
        <w:numPr>
          <w:ilvl w:val="0"/>
          <w:numId w:val="26"/>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357BE8">
      <w:pPr>
        <w:pStyle w:val="Akapitzlist"/>
        <w:numPr>
          <w:ilvl w:val="1"/>
          <w:numId w:val="26"/>
        </w:numPr>
      </w:pPr>
      <w:r>
        <w:t xml:space="preserve">nie złożono żadnej oferty niepodlegającej odrzuceniu; </w:t>
      </w:r>
    </w:p>
    <w:p w14:paraId="7972CD65" w14:textId="7CD576F8" w:rsidR="00B96CFF" w:rsidRDefault="00B96CFF" w:rsidP="00357BE8">
      <w:pPr>
        <w:pStyle w:val="Akapitzlist"/>
        <w:numPr>
          <w:ilvl w:val="1"/>
          <w:numId w:val="26"/>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357BE8">
      <w:pPr>
        <w:pStyle w:val="Akapitzlist"/>
        <w:numPr>
          <w:ilvl w:val="1"/>
          <w:numId w:val="26"/>
        </w:numPr>
      </w:pPr>
      <w:r>
        <w:t>postępowanie obarczone jest niemożliwą do usunięcia wadą.</w:t>
      </w:r>
    </w:p>
    <w:p w14:paraId="318D8AE7" w14:textId="07D92A11" w:rsidR="00B96CFF" w:rsidRDefault="00B96CFF" w:rsidP="00357BE8">
      <w:pPr>
        <w:pStyle w:val="Akapitzlist"/>
        <w:numPr>
          <w:ilvl w:val="0"/>
          <w:numId w:val="26"/>
        </w:numPr>
      </w:pPr>
      <w:r>
        <w:t xml:space="preserve">Jednocześnie Zamawiający zastrzega sobie możliwość: </w:t>
      </w:r>
    </w:p>
    <w:p w14:paraId="1E168468" w14:textId="4D833CF9" w:rsidR="00B96CFF" w:rsidRDefault="00B96CFF" w:rsidP="00357BE8">
      <w:pPr>
        <w:pStyle w:val="Akapitzlist"/>
        <w:numPr>
          <w:ilvl w:val="1"/>
          <w:numId w:val="26"/>
        </w:numPr>
      </w:pPr>
      <w:r>
        <w:t xml:space="preserve">odwołania postępowania w każdym czasie; </w:t>
      </w:r>
    </w:p>
    <w:p w14:paraId="60E23E01" w14:textId="2D677850" w:rsidR="00B96CFF" w:rsidRDefault="00B96CFF" w:rsidP="00357BE8">
      <w:pPr>
        <w:pStyle w:val="Akapitzlist"/>
        <w:numPr>
          <w:ilvl w:val="1"/>
          <w:numId w:val="26"/>
        </w:numPr>
      </w:pPr>
      <w:r>
        <w:t xml:space="preserve">zakończenia postępowania bez dokonania wyboru Wykonawcy; </w:t>
      </w:r>
    </w:p>
    <w:p w14:paraId="62719D5A" w14:textId="509694D1" w:rsidR="00B96CFF" w:rsidRDefault="00B96CFF" w:rsidP="00357BE8">
      <w:pPr>
        <w:pStyle w:val="Akapitzlist"/>
        <w:numPr>
          <w:ilvl w:val="1"/>
          <w:numId w:val="26"/>
        </w:numPr>
      </w:pPr>
      <w:r>
        <w:t>unieważnienia postępowania, zarówno przed, jak i po dokonaniu wyboru najkorzystniejszej oferty.</w:t>
      </w:r>
    </w:p>
    <w:p w14:paraId="3BAE829A" w14:textId="0EA47434" w:rsidR="00B96CFF" w:rsidRDefault="00B96CFF" w:rsidP="00357BE8">
      <w:pPr>
        <w:pStyle w:val="Akapitzlist"/>
        <w:numPr>
          <w:ilvl w:val="0"/>
          <w:numId w:val="26"/>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357BE8">
      <w:pPr>
        <w:pStyle w:val="Akapitzlist"/>
        <w:numPr>
          <w:ilvl w:val="0"/>
          <w:numId w:val="26"/>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357BE8">
      <w:pPr>
        <w:pStyle w:val="Akapitzlist"/>
        <w:numPr>
          <w:ilvl w:val="0"/>
          <w:numId w:val="26"/>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lastRenderedPageBreak/>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25F0EB1C" w:rsidR="0054389D" w:rsidRDefault="0054389D" w:rsidP="00357BE8">
      <w:pPr>
        <w:pStyle w:val="Akapitzlist"/>
        <w:numPr>
          <w:ilvl w:val="0"/>
          <w:numId w:val="28"/>
        </w:numPr>
      </w:pPr>
      <w:r>
        <w:t>Formularz oferty</w:t>
      </w:r>
    </w:p>
    <w:p w14:paraId="051D843F" w14:textId="77777777" w:rsidR="00C307D2" w:rsidRDefault="0054389D" w:rsidP="00357BE8">
      <w:pPr>
        <w:pStyle w:val="Akapitzlist"/>
        <w:numPr>
          <w:ilvl w:val="0"/>
          <w:numId w:val="28"/>
        </w:numPr>
      </w:pPr>
      <w:r>
        <w:t xml:space="preserve">Wykaz zrealizowanych </w:t>
      </w:r>
      <w:r w:rsidR="007376A0">
        <w:t>dostaw</w:t>
      </w:r>
    </w:p>
    <w:p w14:paraId="56426F91" w14:textId="1C194B6C" w:rsidR="0054389D" w:rsidRDefault="00C307D2" w:rsidP="00357BE8">
      <w:pPr>
        <w:pStyle w:val="Akapitzlist"/>
        <w:numPr>
          <w:ilvl w:val="0"/>
          <w:numId w:val="28"/>
        </w:numPr>
      </w:pPr>
      <w:r>
        <w:t>Wykaz osób</w:t>
      </w:r>
      <w:r w:rsidR="0054389D">
        <w:t xml:space="preserve"> </w:t>
      </w:r>
    </w:p>
    <w:p w14:paraId="4B5DAB3A" w14:textId="3EEA860A" w:rsidR="0054389D" w:rsidRDefault="0054389D" w:rsidP="00357BE8">
      <w:pPr>
        <w:pStyle w:val="Akapitzlist"/>
        <w:numPr>
          <w:ilvl w:val="0"/>
          <w:numId w:val="28"/>
        </w:numPr>
      </w:pPr>
      <w:r>
        <w:t>Wzór umowy</w:t>
      </w:r>
      <w:r w:rsidR="007376A0">
        <w:t xml:space="preserve"> dostawy</w:t>
      </w:r>
    </w:p>
    <w:p w14:paraId="31EC2319" w14:textId="4CD8647F" w:rsidR="00C5696B" w:rsidRDefault="00C5696B" w:rsidP="00357BE8">
      <w:pPr>
        <w:pStyle w:val="Akapitzlist"/>
        <w:numPr>
          <w:ilvl w:val="0"/>
          <w:numId w:val="28"/>
        </w:numPr>
      </w:pPr>
      <w:r>
        <w:t>Wzór oświadczenia o udostępnieniu zasobów</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3B46" w14:textId="77777777" w:rsidR="00964AD2" w:rsidRDefault="00964AD2" w:rsidP="00E918E1">
      <w:pPr>
        <w:spacing w:after="0"/>
      </w:pPr>
      <w:r>
        <w:separator/>
      </w:r>
    </w:p>
  </w:endnote>
  <w:endnote w:type="continuationSeparator" w:id="0">
    <w:p w14:paraId="6601432B" w14:textId="77777777" w:rsidR="00964AD2" w:rsidRDefault="00964AD2" w:rsidP="00E918E1">
      <w:pPr>
        <w:spacing w:after="0"/>
      </w:pPr>
      <w:r>
        <w:continuationSeparator/>
      </w:r>
    </w:p>
  </w:endnote>
  <w:endnote w:type="continuationNotice" w:id="1">
    <w:p w14:paraId="5371DB1D" w14:textId="77777777" w:rsidR="00964AD2" w:rsidRDefault="00964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oppins">
    <w:altName w:val="Poppins"/>
    <w:charset w:val="EE"/>
    <w:family w:val="auto"/>
    <w:pitch w:val="variable"/>
    <w:sig w:usb0="00008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A001" w14:textId="77777777" w:rsidR="00964AD2" w:rsidRDefault="00964AD2" w:rsidP="00E918E1">
      <w:pPr>
        <w:spacing w:after="0"/>
      </w:pPr>
      <w:r>
        <w:separator/>
      </w:r>
    </w:p>
  </w:footnote>
  <w:footnote w:type="continuationSeparator" w:id="0">
    <w:p w14:paraId="6B7D47E2" w14:textId="77777777" w:rsidR="00964AD2" w:rsidRDefault="00964AD2" w:rsidP="00E918E1">
      <w:pPr>
        <w:spacing w:after="0"/>
      </w:pPr>
      <w:r>
        <w:continuationSeparator/>
      </w:r>
    </w:p>
  </w:footnote>
  <w:footnote w:type="continuationNotice" w:id="1">
    <w:p w14:paraId="4BB588D7" w14:textId="77777777" w:rsidR="00964AD2" w:rsidRDefault="00964AD2">
      <w:pPr>
        <w:spacing w:after="0"/>
      </w:pPr>
    </w:p>
  </w:footnote>
  <w:footnote w:id="2">
    <w:p w14:paraId="4095C597" w14:textId="77777777" w:rsidR="002F58FC" w:rsidRDefault="002F58FC" w:rsidP="002F58FC">
      <w:pPr>
        <w:pStyle w:val="Tekstprzypisudolnego"/>
      </w:pPr>
      <w:r>
        <w:rPr>
          <w:rStyle w:val="Odwoanieprzypisudolnego"/>
        </w:rPr>
        <w:footnoteRef/>
      </w:r>
      <w:r>
        <w:t xml:space="preserve"> Przez zamówienia wykonane należy rozumieć: </w:t>
      </w:r>
    </w:p>
    <w:p w14:paraId="4CC9F9C9" w14:textId="77777777" w:rsidR="002F58FC" w:rsidRDefault="002F58FC" w:rsidP="002F58FC">
      <w:pPr>
        <w:pStyle w:val="Tekstprzypisudolnego"/>
      </w:pPr>
      <w:r>
        <w:t>1) zamówienia rozpoczęte i zakończone w w/w okresie,</w:t>
      </w:r>
    </w:p>
    <w:p w14:paraId="605B7ABE" w14:textId="7B807C3E" w:rsidR="002F58FC" w:rsidRDefault="002F58FC" w:rsidP="002F58FC">
      <w:pPr>
        <w:pStyle w:val="Tekstprzypisudolnego"/>
      </w:pPr>
      <w:r>
        <w:t>2) zamówienia zakończone w ww. okresie, których rozpoczęcie mogło nastąpić wcześniej niż w ww. okresie.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3E00" w14:textId="71A52B2A" w:rsidR="000B01DD" w:rsidRDefault="000B01DD">
    <w:pPr>
      <w:pStyle w:val="Nagwek"/>
    </w:pPr>
    <w:r>
      <w:rPr>
        <w:noProof/>
      </w:rPr>
      <w:drawing>
        <wp:inline distT="0" distB="0" distL="0" distR="0" wp14:anchorId="6875D960" wp14:editId="5027A2DC">
          <wp:extent cx="5760720" cy="80137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1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D002E"/>
    <w:multiLevelType w:val="hybridMultilevel"/>
    <w:tmpl w:val="A58EE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6301E2"/>
    <w:multiLevelType w:val="hybridMultilevel"/>
    <w:tmpl w:val="C92427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026A41"/>
    <w:multiLevelType w:val="hybridMultilevel"/>
    <w:tmpl w:val="9F785F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FC72F1"/>
    <w:multiLevelType w:val="hybridMultilevel"/>
    <w:tmpl w:val="A58EE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A7779A"/>
    <w:multiLevelType w:val="multilevel"/>
    <w:tmpl w:val="FA1A8132"/>
    <w:lvl w:ilvl="0">
      <w:start w:val="1"/>
      <w:numFmt w:val="decimal"/>
      <w:lvlText w:val="%1."/>
      <w:lvlJc w:val="left"/>
      <w:pPr>
        <w:ind w:left="644" w:hanging="360"/>
      </w:pPr>
      <w:rPr>
        <w:rFonts w:hint="default"/>
        <w:color w:val="auto"/>
      </w:rPr>
    </w:lvl>
    <w:lvl w:ilvl="1">
      <w:start w:val="1"/>
      <w:numFmt w:val="decimal"/>
      <w:isLgl/>
      <w:lvlText w:val="%1.%2"/>
      <w:lvlJc w:val="left"/>
      <w:pPr>
        <w:ind w:left="644" w:hanging="360"/>
      </w:pPr>
      <w:rPr>
        <w:rFonts w:eastAsia="Times New Roman" w:hint="default"/>
        <w:b/>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23" w15:restartNumberingAfterBreak="0">
    <w:nsid w:val="4CF47CFC"/>
    <w:multiLevelType w:val="hybridMultilevel"/>
    <w:tmpl w:val="D4485D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F385B70"/>
    <w:multiLevelType w:val="hybridMultilevel"/>
    <w:tmpl w:val="1658893A"/>
    <w:lvl w:ilvl="0" w:tplc="15A259EC">
      <w:start w:val="1"/>
      <w:numFmt w:val="lowerLetter"/>
      <w:lvlText w:val="%1)"/>
      <w:lvlJc w:val="left"/>
      <w:pPr>
        <w:ind w:left="1080" w:hanging="360"/>
      </w:pPr>
      <w:rPr>
        <w:rFonts w:asciiTheme="minorHAnsi" w:eastAsia="Cambria"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1FE4B16"/>
    <w:multiLevelType w:val="hybridMultilevel"/>
    <w:tmpl w:val="46629216"/>
    <w:lvl w:ilvl="0" w:tplc="B89A98AE">
      <w:start w:val="1"/>
      <w:numFmt w:val="decimal"/>
      <w:lvlText w:val="%1)"/>
      <w:lvlJc w:val="left"/>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022D0"/>
    <w:multiLevelType w:val="multilevel"/>
    <w:tmpl w:val="D9C86486"/>
    <w:lvl w:ilvl="0">
      <w:start w:val="1"/>
      <w:numFmt w:val="decimal"/>
      <w:lvlText w:val="%1."/>
      <w:lvlJc w:val="left"/>
      <w:pPr>
        <w:ind w:left="644" w:hanging="360"/>
      </w:pPr>
      <w:rPr>
        <w:rFonts w:hint="default"/>
        <w:color w:val="auto"/>
      </w:rPr>
    </w:lvl>
    <w:lvl w:ilvl="1">
      <w:start w:val="1"/>
      <w:numFmt w:val="lowerLetter"/>
      <w:lvlText w:val="%2)"/>
      <w:lvlJc w:val="left"/>
      <w:pPr>
        <w:ind w:left="644" w:hanging="360"/>
      </w:p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29" w15:restartNumberingAfterBreak="0">
    <w:nsid w:val="5B8E1ECF"/>
    <w:multiLevelType w:val="hybridMultilevel"/>
    <w:tmpl w:val="D34EE93E"/>
    <w:lvl w:ilvl="0" w:tplc="37D42B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BCB4E1C"/>
    <w:multiLevelType w:val="hybridMultilevel"/>
    <w:tmpl w:val="3DC874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3" w15:restartNumberingAfterBreak="0">
    <w:nsid w:val="645673BE"/>
    <w:multiLevelType w:val="hybridMultilevel"/>
    <w:tmpl w:val="5AFCDFC2"/>
    <w:lvl w:ilvl="0" w:tplc="2422A5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4C352C"/>
    <w:multiLevelType w:val="hybridMultilevel"/>
    <w:tmpl w:val="7508479A"/>
    <w:lvl w:ilvl="0" w:tplc="0FC078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8A188B"/>
    <w:multiLevelType w:val="hybridMultilevel"/>
    <w:tmpl w:val="9F785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013802">
    <w:abstractNumId w:val="32"/>
  </w:num>
  <w:num w:numId="2" w16cid:durableId="1205603071">
    <w:abstractNumId w:val="1"/>
  </w:num>
  <w:num w:numId="3" w16cid:durableId="715858051">
    <w:abstractNumId w:val="7"/>
  </w:num>
  <w:num w:numId="4" w16cid:durableId="616062735">
    <w:abstractNumId w:val="16"/>
  </w:num>
  <w:num w:numId="5" w16cid:durableId="1497916027">
    <w:abstractNumId w:val="18"/>
  </w:num>
  <w:num w:numId="6" w16cid:durableId="422844179">
    <w:abstractNumId w:val="39"/>
  </w:num>
  <w:num w:numId="7" w16cid:durableId="634679581">
    <w:abstractNumId w:val="3"/>
  </w:num>
  <w:num w:numId="8" w16cid:durableId="2060088938">
    <w:abstractNumId w:val="14"/>
  </w:num>
  <w:num w:numId="9" w16cid:durableId="1925411984">
    <w:abstractNumId w:val="12"/>
  </w:num>
  <w:num w:numId="10" w16cid:durableId="1638873911">
    <w:abstractNumId w:val="34"/>
  </w:num>
  <w:num w:numId="11" w16cid:durableId="233050867">
    <w:abstractNumId w:val="6"/>
  </w:num>
  <w:num w:numId="12" w16cid:durableId="284775420">
    <w:abstractNumId w:val="2"/>
  </w:num>
  <w:num w:numId="13" w16cid:durableId="1320039212">
    <w:abstractNumId w:val="27"/>
  </w:num>
  <w:num w:numId="14" w16cid:durableId="1232153477">
    <w:abstractNumId w:val="9"/>
  </w:num>
  <w:num w:numId="15" w16cid:durableId="997533959">
    <w:abstractNumId w:val="15"/>
  </w:num>
  <w:num w:numId="16" w16cid:durableId="1817912321">
    <w:abstractNumId w:val="17"/>
  </w:num>
  <w:num w:numId="17" w16cid:durableId="399641056">
    <w:abstractNumId w:val="21"/>
  </w:num>
  <w:num w:numId="18" w16cid:durableId="1208877083">
    <w:abstractNumId w:val="36"/>
  </w:num>
  <w:num w:numId="19" w16cid:durableId="710106307">
    <w:abstractNumId w:val="30"/>
  </w:num>
  <w:num w:numId="20" w16cid:durableId="292248458">
    <w:abstractNumId w:val="38"/>
  </w:num>
  <w:num w:numId="21" w16cid:durableId="1750804916">
    <w:abstractNumId w:val="19"/>
  </w:num>
  <w:num w:numId="22" w16cid:durableId="1814712399">
    <w:abstractNumId w:val="13"/>
  </w:num>
  <w:num w:numId="23" w16cid:durableId="1708489681">
    <w:abstractNumId w:val="31"/>
  </w:num>
  <w:num w:numId="24" w16cid:durableId="1226257679">
    <w:abstractNumId w:val="10"/>
  </w:num>
  <w:num w:numId="25" w16cid:durableId="488522944">
    <w:abstractNumId w:val="24"/>
  </w:num>
  <w:num w:numId="26" w16cid:durableId="1100951028">
    <w:abstractNumId w:val="11"/>
  </w:num>
  <w:num w:numId="27" w16cid:durableId="820656148">
    <w:abstractNumId w:val="0"/>
  </w:num>
  <w:num w:numId="28" w16cid:durableId="995034089">
    <w:abstractNumId w:val="37"/>
  </w:num>
  <w:num w:numId="29" w16cid:durableId="208424524">
    <w:abstractNumId w:val="4"/>
  </w:num>
  <w:num w:numId="30" w16cid:durableId="1792088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7079085">
    <w:abstractNumId w:val="28"/>
  </w:num>
  <w:num w:numId="32" w16cid:durableId="275136259">
    <w:abstractNumId w:val="23"/>
  </w:num>
  <w:num w:numId="33" w16cid:durableId="447747048">
    <w:abstractNumId w:val="25"/>
  </w:num>
  <w:num w:numId="34" w16cid:durableId="1856074514">
    <w:abstractNumId w:val="29"/>
  </w:num>
  <w:num w:numId="35" w16cid:durableId="938676875">
    <w:abstractNumId w:val="5"/>
  </w:num>
  <w:num w:numId="36" w16cid:durableId="106701954">
    <w:abstractNumId w:val="26"/>
  </w:num>
  <w:num w:numId="37" w16cid:durableId="1296057099">
    <w:abstractNumId w:val="33"/>
  </w:num>
  <w:num w:numId="38" w16cid:durableId="939872897">
    <w:abstractNumId w:val="35"/>
  </w:num>
  <w:num w:numId="39" w16cid:durableId="464273966">
    <w:abstractNumId w:val="8"/>
  </w:num>
  <w:num w:numId="40" w16cid:durableId="161574848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3987"/>
    <w:rsid w:val="00004498"/>
    <w:rsid w:val="0000590B"/>
    <w:rsid w:val="00013B7B"/>
    <w:rsid w:val="000153C6"/>
    <w:rsid w:val="000157B3"/>
    <w:rsid w:val="000159A3"/>
    <w:rsid w:val="0002019F"/>
    <w:rsid w:val="00022B6C"/>
    <w:rsid w:val="000236CE"/>
    <w:rsid w:val="00024226"/>
    <w:rsid w:val="00024EE8"/>
    <w:rsid w:val="000263C1"/>
    <w:rsid w:val="00026A20"/>
    <w:rsid w:val="0003219D"/>
    <w:rsid w:val="00034509"/>
    <w:rsid w:val="00034E80"/>
    <w:rsid w:val="000408DD"/>
    <w:rsid w:val="00041758"/>
    <w:rsid w:val="00041A71"/>
    <w:rsid w:val="00043181"/>
    <w:rsid w:val="00044E96"/>
    <w:rsid w:val="00045020"/>
    <w:rsid w:val="00052F32"/>
    <w:rsid w:val="00054C06"/>
    <w:rsid w:val="00061C95"/>
    <w:rsid w:val="00062B76"/>
    <w:rsid w:val="0006675B"/>
    <w:rsid w:val="000735C9"/>
    <w:rsid w:val="00074BD9"/>
    <w:rsid w:val="00080600"/>
    <w:rsid w:val="00082D10"/>
    <w:rsid w:val="00084825"/>
    <w:rsid w:val="00085DEF"/>
    <w:rsid w:val="00087078"/>
    <w:rsid w:val="00087FE9"/>
    <w:rsid w:val="0009037A"/>
    <w:rsid w:val="00092631"/>
    <w:rsid w:val="0009436E"/>
    <w:rsid w:val="00095098"/>
    <w:rsid w:val="0009515B"/>
    <w:rsid w:val="00097A2C"/>
    <w:rsid w:val="000A186B"/>
    <w:rsid w:val="000A1EE1"/>
    <w:rsid w:val="000A28BA"/>
    <w:rsid w:val="000B01DD"/>
    <w:rsid w:val="000B04A7"/>
    <w:rsid w:val="000B739E"/>
    <w:rsid w:val="000C0A72"/>
    <w:rsid w:val="000C1545"/>
    <w:rsid w:val="000C23E0"/>
    <w:rsid w:val="000C28D0"/>
    <w:rsid w:val="000C37F4"/>
    <w:rsid w:val="000C4580"/>
    <w:rsid w:val="000C5526"/>
    <w:rsid w:val="000C7CC8"/>
    <w:rsid w:val="000E1943"/>
    <w:rsid w:val="000E267A"/>
    <w:rsid w:val="000E34D8"/>
    <w:rsid w:val="000E53F4"/>
    <w:rsid w:val="000E5D97"/>
    <w:rsid w:val="000E6674"/>
    <w:rsid w:val="000F0D83"/>
    <w:rsid w:val="000F462A"/>
    <w:rsid w:val="0010251C"/>
    <w:rsid w:val="0010760C"/>
    <w:rsid w:val="00112D51"/>
    <w:rsid w:val="00113E4A"/>
    <w:rsid w:val="00120A38"/>
    <w:rsid w:val="00120AE4"/>
    <w:rsid w:val="00121261"/>
    <w:rsid w:val="001231D9"/>
    <w:rsid w:val="00123856"/>
    <w:rsid w:val="00124507"/>
    <w:rsid w:val="00125C52"/>
    <w:rsid w:val="00131F7D"/>
    <w:rsid w:val="00134FCA"/>
    <w:rsid w:val="00140D1D"/>
    <w:rsid w:val="00140F38"/>
    <w:rsid w:val="00141084"/>
    <w:rsid w:val="001469BD"/>
    <w:rsid w:val="00146F74"/>
    <w:rsid w:val="0015022A"/>
    <w:rsid w:val="001507D2"/>
    <w:rsid w:val="00151247"/>
    <w:rsid w:val="00152187"/>
    <w:rsid w:val="00154803"/>
    <w:rsid w:val="00155847"/>
    <w:rsid w:val="001575FD"/>
    <w:rsid w:val="00161258"/>
    <w:rsid w:val="001613D8"/>
    <w:rsid w:val="0016530B"/>
    <w:rsid w:val="00165FB8"/>
    <w:rsid w:val="001679E4"/>
    <w:rsid w:val="001751C9"/>
    <w:rsid w:val="00181FAD"/>
    <w:rsid w:val="00184A79"/>
    <w:rsid w:val="0018574A"/>
    <w:rsid w:val="00197C48"/>
    <w:rsid w:val="00197DFC"/>
    <w:rsid w:val="001A2EA8"/>
    <w:rsid w:val="001A3A85"/>
    <w:rsid w:val="001A7FD8"/>
    <w:rsid w:val="001B4CE9"/>
    <w:rsid w:val="001B539B"/>
    <w:rsid w:val="001C0C7E"/>
    <w:rsid w:val="001C304C"/>
    <w:rsid w:val="001C605F"/>
    <w:rsid w:val="001C67D5"/>
    <w:rsid w:val="001C738D"/>
    <w:rsid w:val="001D7445"/>
    <w:rsid w:val="001D7781"/>
    <w:rsid w:val="001D77C0"/>
    <w:rsid w:val="001E0B7F"/>
    <w:rsid w:val="001E0D51"/>
    <w:rsid w:val="001F4BBA"/>
    <w:rsid w:val="001F77ED"/>
    <w:rsid w:val="001F7DAC"/>
    <w:rsid w:val="00202EC9"/>
    <w:rsid w:val="00202F1C"/>
    <w:rsid w:val="00203515"/>
    <w:rsid w:val="00212D99"/>
    <w:rsid w:val="00215020"/>
    <w:rsid w:val="00215FFA"/>
    <w:rsid w:val="00220E15"/>
    <w:rsid w:val="0022215A"/>
    <w:rsid w:val="00224254"/>
    <w:rsid w:val="002312DD"/>
    <w:rsid w:val="002321A8"/>
    <w:rsid w:val="00233B6D"/>
    <w:rsid w:val="00243845"/>
    <w:rsid w:val="002447B7"/>
    <w:rsid w:val="00245C72"/>
    <w:rsid w:val="00247FB8"/>
    <w:rsid w:val="00250BE1"/>
    <w:rsid w:val="00250E48"/>
    <w:rsid w:val="00251BD0"/>
    <w:rsid w:val="002534BE"/>
    <w:rsid w:val="002547DC"/>
    <w:rsid w:val="0025555B"/>
    <w:rsid w:val="00256E1B"/>
    <w:rsid w:val="002618E2"/>
    <w:rsid w:val="002647BF"/>
    <w:rsid w:val="0026536C"/>
    <w:rsid w:val="002656D4"/>
    <w:rsid w:val="0026618F"/>
    <w:rsid w:val="002663E4"/>
    <w:rsid w:val="00266FF0"/>
    <w:rsid w:val="00271113"/>
    <w:rsid w:val="00273C53"/>
    <w:rsid w:val="00273F2E"/>
    <w:rsid w:val="00281382"/>
    <w:rsid w:val="0028232A"/>
    <w:rsid w:val="00287671"/>
    <w:rsid w:val="002905F3"/>
    <w:rsid w:val="0029449B"/>
    <w:rsid w:val="002953DF"/>
    <w:rsid w:val="002968E1"/>
    <w:rsid w:val="00296D21"/>
    <w:rsid w:val="0029737B"/>
    <w:rsid w:val="002A3C75"/>
    <w:rsid w:val="002A5543"/>
    <w:rsid w:val="002B108F"/>
    <w:rsid w:val="002B280F"/>
    <w:rsid w:val="002B2E8B"/>
    <w:rsid w:val="002B5429"/>
    <w:rsid w:val="002B58AD"/>
    <w:rsid w:val="002C12A2"/>
    <w:rsid w:val="002C2A00"/>
    <w:rsid w:val="002D2146"/>
    <w:rsid w:val="002D33F3"/>
    <w:rsid w:val="002E35C4"/>
    <w:rsid w:val="002E364C"/>
    <w:rsid w:val="002E3B55"/>
    <w:rsid w:val="002E47B8"/>
    <w:rsid w:val="002E6806"/>
    <w:rsid w:val="002F048A"/>
    <w:rsid w:val="002F2532"/>
    <w:rsid w:val="002F4361"/>
    <w:rsid w:val="002F58FC"/>
    <w:rsid w:val="002F6484"/>
    <w:rsid w:val="0030078A"/>
    <w:rsid w:val="003012DE"/>
    <w:rsid w:val="0030427F"/>
    <w:rsid w:val="00305028"/>
    <w:rsid w:val="00306EC5"/>
    <w:rsid w:val="00311CFC"/>
    <w:rsid w:val="00313F1D"/>
    <w:rsid w:val="003148F3"/>
    <w:rsid w:val="00317D96"/>
    <w:rsid w:val="003203A4"/>
    <w:rsid w:val="0032593F"/>
    <w:rsid w:val="00334483"/>
    <w:rsid w:val="0034186B"/>
    <w:rsid w:val="00343CC7"/>
    <w:rsid w:val="00343E32"/>
    <w:rsid w:val="00347109"/>
    <w:rsid w:val="00347C88"/>
    <w:rsid w:val="003505B4"/>
    <w:rsid w:val="0035232F"/>
    <w:rsid w:val="003526EA"/>
    <w:rsid w:val="00352BAC"/>
    <w:rsid w:val="00355836"/>
    <w:rsid w:val="00356A1B"/>
    <w:rsid w:val="00356B56"/>
    <w:rsid w:val="00357BE8"/>
    <w:rsid w:val="00357D73"/>
    <w:rsid w:val="00362F6C"/>
    <w:rsid w:val="0036797D"/>
    <w:rsid w:val="00367A59"/>
    <w:rsid w:val="003703F7"/>
    <w:rsid w:val="00370C2D"/>
    <w:rsid w:val="00370C60"/>
    <w:rsid w:val="00374338"/>
    <w:rsid w:val="003749CE"/>
    <w:rsid w:val="00375B09"/>
    <w:rsid w:val="0037662E"/>
    <w:rsid w:val="00381708"/>
    <w:rsid w:val="0038176C"/>
    <w:rsid w:val="00384C27"/>
    <w:rsid w:val="0038559D"/>
    <w:rsid w:val="00385B0C"/>
    <w:rsid w:val="003914C7"/>
    <w:rsid w:val="003A1B6C"/>
    <w:rsid w:val="003A2DAE"/>
    <w:rsid w:val="003A2EB5"/>
    <w:rsid w:val="003A412F"/>
    <w:rsid w:val="003B0C0D"/>
    <w:rsid w:val="003B20DD"/>
    <w:rsid w:val="003B3616"/>
    <w:rsid w:val="003B50FF"/>
    <w:rsid w:val="003B5812"/>
    <w:rsid w:val="003C0770"/>
    <w:rsid w:val="003C3107"/>
    <w:rsid w:val="003D0F2C"/>
    <w:rsid w:val="003D1B7D"/>
    <w:rsid w:val="003D58D7"/>
    <w:rsid w:val="003D6426"/>
    <w:rsid w:val="003E7F35"/>
    <w:rsid w:val="003F49C8"/>
    <w:rsid w:val="003F4DD1"/>
    <w:rsid w:val="003F4F32"/>
    <w:rsid w:val="003F539F"/>
    <w:rsid w:val="003F5404"/>
    <w:rsid w:val="003F73F3"/>
    <w:rsid w:val="00400FCF"/>
    <w:rsid w:val="00402319"/>
    <w:rsid w:val="0040788A"/>
    <w:rsid w:val="004112B5"/>
    <w:rsid w:val="004160C0"/>
    <w:rsid w:val="0042138A"/>
    <w:rsid w:val="00421B1D"/>
    <w:rsid w:val="00427422"/>
    <w:rsid w:val="004423AE"/>
    <w:rsid w:val="004460E8"/>
    <w:rsid w:val="00453DE7"/>
    <w:rsid w:val="004554E2"/>
    <w:rsid w:val="00462F30"/>
    <w:rsid w:val="00467C03"/>
    <w:rsid w:val="00470302"/>
    <w:rsid w:val="0047252B"/>
    <w:rsid w:val="004803A5"/>
    <w:rsid w:val="00485753"/>
    <w:rsid w:val="004900FC"/>
    <w:rsid w:val="0049235E"/>
    <w:rsid w:val="00495A6E"/>
    <w:rsid w:val="004A18CF"/>
    <w:rsid w:val="004A6020"/>
    <w:rsid w:val="004A6F60"/>
    <w:rsid w:val="004A6F83"/>
    <w:rsid w:val="004B0C24"/>
    <w:rsid w:val="004B1553"/>
    <w:rsid w:val="004B2D99"/>
    <w:rsid w:val="004B4D38"/>
    <w:rsid w:val="004B79D7"/>
    <w:rsid w:val="004C075C"/>
    <w:rsid w:val="004C1B33"/>
    <w:rsid w:val="004C1B75"/>
    <w:rsid w:val="004C39FB"/>
    <w:rsid w:val="004C70C0"/>
    <w:rsid w:val="004C7FD5"/>
    <w:rsid w:val="004D1157"/>
    <w:rsid w:val="004D45D0"/>
    <w:rsid w:val="004D5154"/>
    <w:rsid w:val="004D5546"/>
    <w:rsid w:val="004D6D0D"/>
    <w:rsid w:val="004F025E"/>
    <w:rsid w:val="004F240E"/>
    <w:rsid w:val="004F4502"/>
    <w:rsid w:val="004F51EA"/>
    <w:rsid w:val="004F549B"/>
    <w:rsid w:val="004F5C12"/>
    <w:rsid w:val="005022E9"/>
    <w:rsid w:val="005034BC"/>
    <w:rsid w:val="00503A7F"/>
    <w:rsid w:val="0050563C"/>
    <w:rsid w:val="00505D8F"/>
    <w:rsid w:val="00512474"/>
    <w:rsid w:val="00517661"/>
    <w:rsid w:val="00517FAF"/>
    <w:rsid w:val="00522FAE"/>
    <w:rsid w:val="005234D1"/>
    <w:rsid w:val="005235B5"/>
    <w:rsid w:val="005237FA"/>
    <w:rsid w:val="00523F1C"/>
    <w:rsid w:val="00525DD2"/>
    <w:rsid w:val="005312A3"/>
    <w:rsid w:val="00536519"/>
    <w:rsid w:val="00536AD3"/>
    <w:rsid w:val="0054389D"/>
    <w:rsid w:val="00546248"/>
    <w:rsid w:val="00551C93"/>
    <w:rsid w:val="005536F8"/>
    <w:rsid w:val="00554CBA"/>
    <w:rsid w:val="005563DC"/>
    <w:rsid w:val="0056006C"/>
    <w:rsid w:val="0056147B"/>
    <w:rsid w:val="00565CA5"/>
    <w:rsid w:val="00570D3B"/>
    <w:rsid w:val="00571E62"/>
    <w:rsid w:val="00576036"/>
    <w:rsid w:val="00576B32"/>
    <w:rsid w:val="00582ACA"/>
    <w:rsid w:val="00582CC0"/>
    <w:rsid w:val="00583F2C"/>
    <w:rsid w:val="005860AC"/>
    <w:rsid w:val="00587805"/>
    <w:rsid w:val="0059417D"/>
    <w:rsid w:val="00597D87"/>
    <w:rsid w:val="005A2796"/>
    <w:rsid w:val="005A3AE4"/>
    <w:rsid w:val="005A6785"/>
    <w:rsid w:val="005B38E8"/>
    <w:rsid w:val="005B3A16"/>
    <w:rsid w:val="005B7B55"/>
    <w:rsid w:val="005C2D85"/>
    <w:rsid w:val="005C32EA"/>
    <w:rsid w:val="005C376C"/>
    <w:rsid w:val="005D2D1E"/>
    <w:rsid w:val="005D4FAA"/>
    <w:rsid w:val="005D6B00"/>
    <w:rsid w:val="005E12C2"/>
    <w:rsid w:val="005E335A"/>
    <w:rsid w:val="005F11E2"/>
    <w:rsid w:val="005F4703"/>
    <w:rsid w:val="005F4E8B"/>
    <w:rsid w:val="005F61DE"/>
    <w:rsid w:val="00603ABC"/>
    <w:rsid w:val="00610BFF"/>
    <w:rsid w:val="00610CCB"/>
    <w:rsid w:val="006111A0"/>
    <w:rsid w:val="006138CB"/>
    <w:rsid w:val="0061483F"/>
    <w:rsid w:val="00616CAB"/>
    <w:rsid w:val="0061749E"/>
    <w:rsid w:val="00622329"/>
    <w:rsid w:val="00626C00"/>
    <w:rsid w:val="00627E7E"/>
    <w:rsid w:val="00631985"/>
    <w:rsid w:val="00634B08"/>
    <w:rsid w:val="006362ED"/>
    <w:rsid w:val="0063742F"/>
    <w:rsid w:val="006449E1"/>
    <w:rsid w:val="00645660"/>
    <w:rsid w:val="006466F1"/>
    <w:rsid w:val="00646920"/>
    <w:rsid w:val="0065011D"/>
    <w:rsid w:val="00652814"/>
    <w:rsid w:val="00653ADB"/>
    <w:rsid w:val="00654669"/>
    <w:rsid w:val="00657B0B"/>
    <w:rsid w:val="00660DFF"/>
    <w:rsid w:val="00663B5B"/>
    <w:rsid w:val="00666470"/>
    <w:rsid w:val="00671C90"/>
    <w:rsid w:val="006731AC"/>
    <w:rsid w:val="00673DB5"/>
    <w:rsid w:val="006776C8"/>
    <w:rsid w:val="0068332A"/>
    <w:rsid w:val="00683E8E"/>
    <w:rsid w:val="00690DB9"/>
    <w:rsid w:val="0069177C"/>
    <w:rsid w:val="00693CF0"/>
    <w:rsid w:val="006959FE"/>
    <w:rsid w:val="00695AF0"/>
    <w:rsid w:val="00697591"/>
    <w:rsid w:val="006A016F"/>
    <w:rsid w:val="006A2195"/>
    <w:rsid w:val="006B05E5"/>
    <w:rsid w:val="006B0DFE"/>
    <w:rsid w:val="006B4B0D"/>
    <w:rsid w:val="006B5AA8"/>
    <w:rsid w:val="006B7CA8"/>
    <w:rsid w:val="006C29FA"/>
    <w:rsid w:val="006C3923"/>
    <w:rsid w:val="006D17B7"/>
    <w:rsid w:val="006D1852"/>
    <w:rsid w:val="006D3191"/>
    <w:rsid w:val="006D3917"/>
    <w:rsid w:val="006D4563"/>
    <w:rsid w:val="006E023B"/>
    <w:rsid w:val="006E1B6D"/>
    <w:rsid w:val="006E49B0"/>
    <w:rsid w:val="006E7A10"/>
    <w:rsid w:val="006F2032"/>
    <w:rsid w:val="006F2560"/>
    <w:rsid w:val="006F2E2B"/>
    <w:rsid w:val="006F2F93"/>
    <w:rsid w:val="006F4CC5"/>
    <w:rsid w:val="007035DA"/>
    <w:rsid w:val="0071107A"/>
    <w:rsid w:val="00712A29"/>
    <w:rsid w:val="00713778"/>
    <w:rsid w:val="00714201"/>
    <w:rsid w:val="0072330B"/>
    <w:rsid w:val="007269CE"/>
    <w:rsid w:val="00727DAC"/>
    <w:rsid w:val="007312A0"/>
    <w:rsid w:val="0073290B"/>
    <w:rsid w:val="00732E59"/>
    <w:rsid w:val="0073410C"/>
    <w:rsid w:val="007357BF"/>
    <w:rsid w:val="007358A1"/>
    <w:rsid w:val="00736DD1"/>
    <w:rsid w:val="00736F30"/>
    <w:rsid w:val="007376A0"/>
    <w:rsid w:val="00737919"/>
    <w:rsid w:val="007379A7"/>
    <w:rsid w:val="007379C4"/>
    <w:rsid w:val="00740F21"/>
    <w:rsid w:val="00742C92"/>
    <w:rsid w:val="00745A75"/>
    <w:rsid w:val="00746C19"/>
    <w:rsid w:val="00750779"/>
    <w:rsid w:val="007525EB"/>
    <w:rsid w:val="0075570D"/>
    <w:rsid w:val="00755A3F"/>
    <w:rsid w:val="00760A8C"/>
    <w:rsid w:val="00762745"/>
    <w:rsid w:val="007645A7"/>
    <w:rsid w:val="007646C0"/>
    <w:rsid w:val="00765733"/>
    <w:rsid w:val="007720B0"/>
    <w:rsid w:val="00775A9C"/>
    <w:rsid w:val="00776728"/>
    <w:rsid w:val="00777291"/>
    <w:rsid w:val="00777A7C"/>
    <w:rsid w:val="0078011D"/>
    <w:rsid w:val="007855E3"/>
    <w:rsid w:val="00786AAB"/>
    <w:rsid w:val="00786B9D"/>
    <w:rsid w:val="007870DE"/>
    <w:rsid w:val="00787596"/>
    <w:rsid w:val="00793949"/>
    <w:rsid w:val="0079497E"/>
    <w:rsid w:val="00795EAB"/>
    <w:rsid w:val="0079629A"/>
    <w:rsid w:val="0079648C"/>
    <w:rsid w:val="00796784"/>
    <w:rsid w:val="00797DE8"/>
    <w:rsid w:val="007A2FD2"/>
    <w:rsid w:val="007A49C8"/>
    <w:rsid w:val="007A615A"/>
    <w:rsid w:val="007A61ED"/>
    <w:rsid w:val="007A7570"/>
    <w:rsid w:val="007B00C5"/>
    <w:rsid w:val="007B05CD"/>
    <w:rsid w:val="007D3F7B"/>
    <w:rsid w:val="007D6E41"/>
    <w:rsid w:val="007E17BB"/>
    <w:rsid w:val="007E1966"/>
    <w:rsid w:val="007E4EB7"/>
    <w:rsid w:val="007F4224"/>
    <w:rsid w:val="007F5835"/>
    <w:rsid w:val="007F656E"/>
    <w:rsid w:val="008004FA"/>
    <w:rsid w:val="00801168"/>
    <w:rsid w:val="008049CF"/>
    <w:rsid w:val="00807605"/>
    <w:rsid w:val="0081135A"/>
    <w:rsid w:val="00813E4C"/>
    <w:rsid w:val="00817052"/>
    <w:rsid w:val="00817095"/>
    <w:rsid w:val="0081715F"/>
    <w:rsid w:val="0082084F"/>
    <w:rsid w:val="00822C63"/>
    <w:rsid w:val="0082479D"/>
    <w:rsid w:val="0082702C"/>
    <w:rsid w:val="008335B2"/>
    <w:rsid w:val="008339F7"/>
    <w:rsid w:val="00836CC1"/>
    <w:rsid w:val="00842F1D"/>
    <w:rsid w:val="00843907"/>
    <w:rsid w:val="008450CC"/>
    <w:rsid w:val="00845845"/>
    <w:rsid w:val="00850D32"/>
    <w:rsid w:val="00852D02"/>
    <w:rsid w:val="00854801"/>
    <w:rsid w:val="00857045"/>
    <w:rsid w:val="008634C5"/>
    <w:rsid w:val="00867D19"/>
    <w:rsid w:val="00874B90"/>
    <w:rsid w:val="0087666D"/>
    <w:rsid w:val="00877175"/>
    <w:rsid w:val="008805E8"/>
    <w:rsid w:val="00881507"/>
    <w:rsid w:val="00881746"/>
    <w:rsid w:val="008838A3"/>
    <w:rsid w:val="00883B48"/>
    <w:rsid w:val="00887F26"/>
    <w:rsid w:val="00890649"/>
    <w:rsid w:val="008918B1"/>
    <w:rsid w:val="008947C5"/>
    <w:rsid w:val="008A0B8D"/>
    <w:rsid w:val="008A3087"/>
    <w:rsid w:val="008A468F"/>
    <w:rsid w:val="008A47CE"/>
    <w:rsid w:val="008A77CD"/>
    <w:rsid w:val="008B429F"/>
    <w:rsid w:val="008B7559"/>
    <w:rsid w:val="008C1920"/>
    <w:rsid w:val="008C2218"/>
    <w:rsid w:val="008C2F9D"/>
    <w:rsid w:val="008C309B"/>
    <w:rsid w:val="008C31C7"/>
    <w:rsid w:val="008C348B"/>
    <w:rsid w:val="008C358F"/>
    <w:rsid w:val="008C64C9"/>
    <w:rsid w:val="008C6FB2"/>
    <w:rsid w:val="008C7105"/>
    <w:rsid w:val="008D0BB0"/>
    <w:rsid w:val="008D3B52"/>
    <w:rsid w:val="008D4213"/>
    <w:rsid w:val="008D621C"/>
    <w:rsid w:val="008D713F"/>
    <w:rsid w:val="008E038A"/>
    <w:rsid w:val="008E2F8E"/>
    <w:rsid w:val="008E3D62"/>
    <w:rsid w:val="008E631E"/>
    <w:rsid w:val="008F01A6"/>
    <w:rsid w:val="008F120E"/>
    <w:rsid w:val="008F322E"/>
    <w:rsid w:val="008F4EF8"/>
    <w:rsid w:val="008F5272"/>
    <w:rsid w:val="008F7DD8"/>
    <w:rsid w:val="00901DB2"/>
    <w:rsid w:val="0090334C"/>
    <w:rsid w:val="00905D13"/>
    <w:rsid w:val="0090617B"/>
    <w:rsid w:val="00906858"/>
    <w:rsid w:val="00914942"/>
    <w:rsid w:val="009265BA"/>
    <w:rsid w:val="00926C1E"/>
    <w:rsid w:val="0093332C"/>
    <w:rsid w:val="00934D6B"/>
    <w:rsid w:val="009426DA"/>
    <w:rsid w:val="0094301E"/>
    <w:rsid w:val="009438DB"/>
    <w:rsid w:val="0094633E"/>
    <w:rsid w:val="0096026A"/>
    <w:rsid w:val="009606A7"/>
    <w:rsid w:val="009622E8"/>
    <w:rsid w:val="00962512"/>
    <w:rsid w:val="00962519"/>
    <w:rsid w:val="00964AD2"/>
    <w:rsid w:val="0097050E"/>
    <w:rsid w:val="00972219"/>
    <w:rsid w:val="009729F4"/>
    <w:rsid w:val="00972A5F"/>
    <w:rsid w:val="009736F3"/>
    <w:rsid w:val="00975BEF"/>
    <w:rsid w:val="009811AA"/>
    <w:rsid w:val="009824F0"/>
    <w:rsid w:val="00984121"/>
    <w:rsid w:val="00984C84"/>
    <w:rsid w:val="009909DB"/>
    <w:rsid w:val="00994522"/>
    <w:rsid w:val="00994690"/>
    <w:rsid w:val="009A3E7E"/>
    <w:rsid w:val="009A505B"/>
    <w:rsid w:val="009A6110"/>
    <w:rsid w:val="009C12D5"/>
    <w:rsid w:val="009C3D55"/>
    <w:rsid w:val="009C7A91"/>
    <w:rsid w:val="009D1A83"/>
    <w:rsid w:val="009D230F"/>
    <w:rsid w:val="009D446B"/>
    <w:rsid w:val="009D799B"/>
    <w:rsid w:val="009E0A71"/>
    <w:rsid w:val="009E340C"/>
    <w:rsid w:val="009E3888"/>
    <w:rsid w:val="009E47B0"/>
    <w:rsid w:val="009E6F06"/>
    <w:rsid w:val="009E741A"/>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069DA"/>
    <w:rsid w:val="00A114AF"/>
    <w:rsid w:val="00A15B8B"/>
    <w:rsid w:val="00A2056C"/>
    <w:rsid w:val="00A2108F"/>
    <w:rsid w:val="00A228E1"/>
    <w:rsid w:val="00A23D58"/>
    <w:rsid w:val="00A24939"/>
    <w:rsid w:val="00A27015"/>
    <w:rsid w:val="00A270F4"/>
    <w:rsid w:val="00A301ED"/>
    <w:rsid w:val="00A32715"/>
    <w:rsid w:val="00A3538D"/>
    <w:rsid w:val="00A362BD"/>
    <w:rsid w:val="00A405C3"/>
    <w:rsid w:val="00A437F8"/>
    <w:rsid w:val="00A4760A"/>
    <w:rsid w:val="00A477EB"/>
    <w:rsid w:val="00A559E5"/>
    <w:rsid w:val="00A62875"/>
    <w:rsid w:val="00A65BA6"/>
    <w:rsid w:val="00A70441"/>
    <w:rsid w:val="00A71516"/>
    <w:rsid w:val="00A72E5C"/>
    <w:rsid w:val="00A838BE"/>
    <w:rsid w:val="00A84879"/>
    <w:rsid w:val="00A8690C"/>
    <w:rsid w:val="00A87ABE"/>
    <w:rsid w:val="00A91FEF"/>
    <w:rsid w:val="00A966C1"/>
    <w:rsid w:val="00AA1D60"/>
    <w:rsid w:val="00AA1FA0"/>
    <w:rsid w:val="00AA3140"/>
    <w:rsid w:val="00AB1665"/>
    <w:rsid w:val="00AB2E96"/>
    <w:rsid w:val="00AB2FD2"/>
    <w:rsid w:val="00AC15CC"/>
    <w:rsid w:val="00AC6269"/>
    <w:rsid w:val="00AD1A5D"/>
    <w:rsid w:val="00AD1B13"/>
    <w:rsid w:val="00AD4DD3"/>
    <w:rsid w:val="00AD54BF"/>
    <w:rsid w:val="00AD5D88"/>
    <w:rsid w:val="00AD5FCD"/>
    <w:rsid w:val="00AF0727"/>
    <w:rsid w:val="00AF633B"/>
    <w:rsid w:val="00B002A4"/>
    <w:rsid w:val="00B046A6"/>
    <w:rsid w:val="00B06CA1"/>
    <w:rsid w:val="00B120C6"/>
    <w:rsid w:val="00B15445"/>
    <w:rsid w:val="00B166D4"/>
    <w:rsid w:val="00B1713F"/>
    <w:rsid w:val="00B17649"/>
    <w:rsid w:val="00B205EC"/>
    <w:rsid w:val="00B21F8E"/>
    <w:rsid w:val="00B22F94"/>
    <w:rsid w:val="00B243C7"/>
    <w:rsid w:val="00B2645D"/>
    <w:rsid w:val="00B27CA1"/>
    <w:rsid w:val="00B305BB"/>
    <w:rsid w:val="00B37D6D"/>
    <w:rsid w:val="00B42778"/>
    <w:rsid w:val="00B430A5"/>
    <w:rsid w:val="00B46203"/>
    <w:rsid w:val="00B466FD"/>
    <w:rsid w:val="00B5010E"/>
    <w:rsid w:val="00B53945"/>
    <w:rsid w:val="00B53999"/>
    <w:rsid w:val="00B54630"/>
    <w:rsid w:val="00B56523"/>
    <w:rsid w:val="00B628FD"/>
    <w:rsid w:val="00B62B64"/>
    <w:rsid w:val="00B67F9A"/>
    <w:rsid w:val="00B7126A"/>
    <w:rsid w:val="00B73286"/>
    <w:rsid w:val="00B7522D"/>
    <w:rsid w:val="00B76D33"/>
    <w:rsid w:val="00B82297"/>
    <w:rsid w:val="00B82CF4"/>
    <w:rsid w:val="00B8337E"/>
    <w:rsid w:val="00B84131"/>
    <w:rsid w:val="00B8697F"/>
    <w:rsid w:val="00B900ED"/>
    <w:rsid w:val="00B90476"/>
    <w:rsid w:val="00B9209C"/>
    <w:rsid w:val="00B95057"/>
    <w:rsid w:val="00B962D8"/>
    <w:rsid w:val="00B96CFF"/>
    <w:rsid w:val="00BA06FD"/>
    <w:rsid w:val="00BA0953"/>
    <w:rsid w:val="00BA2A90"/>
    <w:rsid w:val="00BA424E"/>
    <w:rsid w:val="00BA50D8"/>
    <w:rsid w:val="00BB1E4A"/>
    <w:rsid w:val="00BB283B"/>
    <w:rsid w:val="00BB2D40"/>
    <w:rsid w:val="00BB39E7"/>
    <w:rsid w:val="00BB48B6"/>
    <w:rsid w:val="00BB4AA0"/>
    <w:rsid w:val="00BB50F1"/>
    <w:rsid w:val="00BB75B8"/>
    <w:rsid w:val="00BC01A2"/>
    <w:rsid w:val="00BC4526"/>
    <w:rsid w:val="00BC4A7D"/>
    <w:rsid w:val="00BC6299"/>
    <w:rsid w:val="00BD0A99"/>
    <w:rsid w:val="00BD20E3"/>
    <w:rsid w:val="00BD7703"/>
    <w:rsid w:val="00BE4433"/>
    <w:rsid w:val="00BF0B7A"/>
    <w:rsid w:val="00BF24AB"/>
    <w:rsid w:val="00BF31E7"/>
    <w:rsid w:val="00BF4015"/>
    <w:rsid w:val="00BF6F23"/>
    <w:rsid w:val="00C01ACC"/>
    <w:rsid w:val="00C04F24"/>
    <w:rsid w:val="00C10623"/>
    <w:rsid w:val="00C10BCD"/>
    <w:rsid w:val="00C1307D"/>
    <w:rsid w:val="00C16D6C"/>
    <w:rsid w:val="00C20D18"/>
    <w:rsid w:val="00C24480"/>
    <w:rsid w:val="00C247E6"/>
    <w:rsid w:val="00C24FC3"/>
    <w:rsid w:val="00C259A9"/>
    <w:rsid w:val="00C26F7C"/>
    <w:rsid w:val="00C26FEE"/>
    <w:rsid w:val="00C270F5"/>
    <w:rsid w:val="00C307D2"/>
    <w:rsid w:val="00C333C9"/>
    <w:rsid w:val="00C340E3"/>
    <w:rsid w:val="00C34E05"/>
    <w:rsid w:val="00C35608"/>
    <w:rsid w:val="00C3767E"/>
    <w:rsid w:val="00C37A61"/>
    <w:rsid w:val="00C416FF"/>
    <w:rsid w:val="00C47203"/>
    <w:rsid w:val="00C476BA"/>
    <w:rsid w:val="00C5146D"/>
    <w:rsid w:val="00C517E5"/>
    <w:rsid w:val="00C5409B"/>
    <w:rsid w:val="00C540D2"/>
    <w:rsid w:val="00C5696B"/>
    <w:rsid w:val="00C578ED"/>
    <w:rsid w:val="00C6080E"/>
    <w:rsid w:val="00C60836"/>
    <w:rsid w:val="00C62DA2"/>
    <w:rsid w:val="00C6388A"/>
    <w:rsid w:val="00C64029"/>
    <w:rsid w:val="00C64A27"/>
    <w:rsid w:val="00C672AE"/>
    <w:rsid w:val="00C70442"/>
    <w:rsid w:val="00C71F44"/>
    <w:rsid w:val="00C80570"/>
    <w:rsid w:val="00C809ED"/>
    <w:rsid w:val="00C80A04"/>
    <w:rsid w:val="00C81626"/>
    <w:rsid w:val="00C83A43"/>
    <w:rsid w:val="00C877D0"/>
    <w:rsid w:val="00C87ED3"/>
    <w:rsid w:val="00C92568"/>
    <w:rsid w:val="00CA5C25"/>
    <w:rsid w:val="00CA6038"/>
    <w:rsid w:val="00CA6307"/>
    <w:rsid w:val="00CA72C4"/>
    <w:rsid w:val="00CA7AF1"/>
    <w:rsid w:val="00CB0971"/>
    <w:rsid w:val="00CB1757"/>
    <w:rsid w:val="00CB2414"/>
    <w:rsid w:val="00CB339F"/>
    <w:rsid w:val="00CB6FB4"/>
    <w:rsid w:val="00CC3104"/>
    <w:rsid w:val="00CC3914"/>
    <w:rsid w:val="00CC3BD5"/>
    <w:rsid w:val="00CC6C85"/>
    <w:rsid w:val="00CC6D84"/>
    <w:rsid w:val="00CD2B86"/>
    <w:rsid w:val="00CD2EC3"/>
    <w:rsid w:val="00CD3A04"/>
    <w:rsid w:val="00CD5289"/>
    <w:rsid w:val="00CE2A9E"/>
    <w:rsid w:val="00CE3A4D"/>
    <w:rsid w:val="00CE514B"/>
    <w:rsid w:val="00CE55F2"/>
    <w:rsid w:val="00CE6D4E"/>
    <w:rsid w:val="00CF00E0"/>
    <w:rsid w:val="00CF2FCB"/>
    <w:rsid w:val="00CF3056"/>
    <w:rsid w:val="00D038B9"/>
    <w:rsid w:val="00D067C3"/>
    <w:rsid w:val="00D07115"/>
    <w:rsid w:val="00D144A0"/>
    <w:rsid w:val="00D148F7"/>
    <w:rsid w:val="00D15449"/>
    <w:rsid w:val="00D172DB"/>
    <w:rsid w:val="00D1777D"/>
    <w:rsid w:val="00D211F5"/>
    <w:rsid w:val="00D213EB"/>
    <w:rsid w:val="00D21F5A"/>
    <w:rsid w:val="00D236A3"/>
    <w:rsid w:val="00D2540C"/>
    <w:rsid w:val="00D25E7D"/>
    <w:rsid w:val="00D328F7"/>
    <w:rsid w:val="00D332DE"/>
    <w:rsid w:val="00D37790"/>
    <w:rsid w:val="00D41202"/>
    <w:rsid w:val="00D43F10"/>
    <w:rsid w:val="00D468B4"/>
    <w:rsid w:val="00D53C5E"/>
    <w:rsid w:val="00D5458B"/>
    <w:rsid w:val="00D551C3"/>
    <w:rsid w:val="00D57D25"/>
    <w:rsid w:val="00D80A22"/>
    <w:rsid w:val="00D84E10"/>
    <w:rsid w:val="00D910A7"/>
    <w:rsid w:val="00D91E57"/>
    <w:rsid w:val="00D924B1"/>
    <w:rsid w:val="00D973FA"/>
    <w:rsid w:val="00DA5626"/>
    <w:rsid w:val="00DB055A"/>
    <w:rsid w:val="00DB08A9"/>
    <w:rsid w:val="00DB551C"/>
    <w:rsid w:val="00DB56C4"/>
    <w:rsid w:val="00DB68ED"/>
    <w:rsid w:val="00DC02E3"/>
    <w:rsid w:val="00DC1216"/>
    <w:rsid w:val="00DC38F3"/>
    <w:rsid w:val="00DC5843"/>
    <w:rsid w:val="00DC60CD"/>
    <w:rsid w:val="00DC6A38"/>
    <w:rsid w:val="00DC7FC2"/>
    <w:rsid w:val="00DD0377"/>
    <w:rsid w:val="00DD0E84"/>
    <w:rsid w:val="00DD29FC"/>
    <w:rsid w:val="00DD2E15"/>
    <w:rsid w:val="00DD2F30"/>
    <w:rsid w:val="00DD4C56"/>
    <w:rsid w:val="00DD4C84"/>
    <w:rsid w:val="00DD5BF2"/>
    <w:rsid w:val="00DE1175"/>
    <w:rsid w:val="00DE1F26"/>
    <w:rsid w:val="00DE31C4"/>
    <w:rsid w:val="00DE370E"/>
    <w:rsid w:val="00DF160B"/>
    <w:rsid w:val="00DF2327"/>
    <w:rsid w:val="00DF42DA"/>
    <w:rsid w:val="00DF7155"/>
    <w:rsid w:val="00E02763"/>
    <w:rsid w:val="00E03677"/>
    <w:rsid w:val="00E050D2"/>
    <w:rsid w:val="00E05669"/>
    <w:rsid w:val="00E06ACB"/>
    <w:rsid w:val="00E07524"/>
    <w:rsid w:val="00E07E73"/>
    <w:rsid w:val="00E1229F"/>
    <w:rsid w:val="00E15C18"/>
    <w:rsid w:val="00E2127B"/>
    <w:rsid w:val="00E24707"/>
    <w:rsid w:val="00E24F08"/>
    <w:rsid w:val="00E314F8"/>
    <w:rsid w:val="00E317F0"/>
    <w:rsid w:val="00E40991"/>
    <w:rsid w:val="00E43B6D"/>
    <w:rsid w:val="00E44616"/>
    <w:rsid w:val="00E44A03"/>
    <w:rsid w:val="00E515D2"/>
    <w:rsid w:val="00E55565"/>
    <w:rsid w:val="00E57380"/>
    <w:rsid w:val="00E57BB1"/>
    <w:rsid w:val="00E613B6"/>
    <w:rsid w:val="00E6278C"/>
    <w:rsid w:val="00E67AAA"/>
    <w:rsid w:val="00E70C42"/>
    <w:rsid w:val="00E71455"/>
    <w:rsid w:val="00E741FA"/>
    <w:rsid w:val="00E80086"/>
    <w:rsid w:val="00E81F7D"/>
    <w:rsid w:val="00E83390"/>
    <w:rsid w:val="00E859A6"/>
    <w:rsid w:val="00E918E1"/>
    <w:rsid w:val="00E91D8C"/>
    <w:rsid w:val="00E92260"/>
    <w:rsid w:val="00EB1ECE"/>
    <w:rsid w:val="00EB2185"/>
    <w:rsid w:val="00EB2603"/>
    <w:rsid w:val="00EB5D5A"/>
    <w:rsid w:val="00EC35BB"/>
    <w:rsid w:val="00EC3C95"/>
    <w:rsid w:val="00EC4C78"/>
    <w:rsid w:val="00EC6F51"/>
    <w:rsid w:val="00ED05AD"/>
    <w:rsid w:val="00ED1707"/>
    <w:rsid w:val="00ED172D"/>
    <w:rsid w:val="00ED545E"/>
    <w:rsid w:val="00ED638F"/>
    <w:rsid w:val="00ED75F5"/>
    <w:rsid w:val="00EF0120"/>
    <w:rsid w:val="00EF3AB6"/>
    <w:rsid w:val="00EF4D9F"/>
    <w:rsid w:val="00F006BF"/>
    <w:rsid w:val="00F02239"/>
    <w:rsid w:val="00F035E4"/>
    <w:rsid w:val="00F038CE"/>
    <w:rsid w:val="00F04B43"/>
    <w:rsid w:val="00F0705B"/>
    <w:rsid w:val="00F24C1E"/>
    <w:rsid w:val="00F30668"/>
    <w:rsid w:val="00F318E1"/>
    <w:rsid w:val="00F31CB1"/>
    <w:rsid w:val="00F3739E"/>
    <w:rsid w:val="00F37A61"/>
    <w:rsid w:val="00F40EF1"/>
    <w:rsid w:val="00F41329"/>
    <w:rsid w:val="00F46D76"/>
    <w:rsid w:val="00F47E16"/>
    <w:rsid w:val="00F53FEA"/>
    <w:rsid w:val="00F562F2"/>
    <w:rsid w:val="00F56BC3"/>
    <w:rsid w:val="00F61AB2"/>
    <w:rsid w:val="00F61B30"/>
    <w:rsid w:val="00F62DE8"/>
    <w:rsid w:val="00F633A6"/>
    <w:rsid w:val="00F65537"/>
    <w:rsid w:val="00F7117D"/>
    <w:rsid w:val="00F7218E"/>
    <w:rsid w:val="00F74D20"/>
    <w:rsid w:val="00F810E7"/>
    <w:rsid w:val="00F81A5C"/>
    <w:rsid w:val="00F82E4F"/>
    <w:rsid w:val="00F908DF"/>
    <w:rsid w:val="00F942B3"/>
    <w:rsid w:val="00F9556C"/>
    <w:rsid w:val="00FA37B3"/>
    <w:rsid w:val="00FA3E04"/>
    <w:rsid w:val="00FA5F02"/>
    <w:rsid w:val="00FA7458"/>
    <w:rsid w:val="00FA7750"/>
    <w:rsid w:val="00FB0B5A"/>
    <w:rsid w:val="00FB25C5"/>
    <w:rsid w:val="00FB39B3"/>
    <w:rsid w:val="00FC06C8"/>
    <w:rsid w:val="00FC65F7"/>
    <w:rsid w:val="00FC696A"/>
    <w:rsid w:val="00FD31CE"/>
    <w:rsid w:val="00FD43A8"/>
    <w:rsid w:val="00FD738D"/>
    <w:rsid w:val="00FE1BA4"/>
    <w:rsid w:val="00FE26E4"/>
    <w:rsid w:val="00FE3C07"/>
    <w:rsid w:val="00FE4610"/>
    <w:rsid w:val="00FE4871"/>
    <w:rsid w:val="00FE531B"/>
    <w:rsid w:val="00FE73DC"/>
    <w:rsid w:val="00FF06D9"/>
    <w:rsid w:val="00FF19CF"/>
    <w:rsid w:val="00FF2B7F"/>
    <w:rsid w:val="00FF53AF"/>
    <w:rsid w:val="045E35F5"/>
    <w:rsid w:val="0461F3D5"/>
    <w:rsid w:val="047CD3B7"/>
    <w:rsid w:val="08B88F6A"/>
    <w:rsid w:val="0953EAF0"/>
    <w:rsid w:val="0AD603F2"/>
    <w:rsid w:val="0CAA0EDE"/>
    <w:rsid w:val="125E5D30"/>
    <w:rsid w:val="1CF0BE82"/>
    <w:rsid w:val="1E681F7F"/>
    <w:rsid w:val="1F907EAF"/>
    <w:rsid w:val="2358823D"/>
    <w:rsid w:val="26D44FA5"/>
    <w:rsid w:val="2789DA3F"/>
    <w:rsid w:val="27E6A2D2"/>
    <w:rsid w:val="2A21BEC5"/>
    <w:rsid w:val="2AE56F1C"/>
    <w:rsid w:val="2E4D3936"/>
    <w:rsid w:val="2FEC2C1A"/>
    <w:rsid w:val="332693D9"/>
    <w:rsid w:val="33955C83"/>
    <w:rsid w:val="473E3915"/>
    <w:rsid w:val="49AF1466"/>
    <w:rsid w:val="50838A47"/>
    <w:rsid w:val="5449B99F"/>
    <w:rsid w:val="5673411C"/>
    <w:rsid w:val="5D026898"/>
    <w:rsid w:val="5DD77388"/>
    <w:rsid w:val="5E3563E0"/>
    <w:rsid w:val="60A923C1"/>
    <w:rsid w:val="60EB997D"/>
    <w:rsid w:val="610F144A"/>
    <w:rsid w:val="6446B50C"/>
    <w:rsid w:val="65E2856D"/>
    <w:rsid w:val="695BC41A"/>
    <w:rsid w:val="6F01E24D"/>
    <w:rsid w:val="714DADA2"/>
    <w:rsid w:val="724B9531"/>
    <w:rsid w:val="7299F6A1"/>
    <w:rsid w:val="79B084E4"/>
    <w:rsid w:val="7BA62033"/>
    <w:rsid w:val="7E5EB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F51AD18A-E933-4A3C-9C1A-12DE10E3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 w:type="character" w:styleId="Pogrubienie">
    <w:name w:val="Strong"/>
    <w:basedOn w:val="Domylnaczcionkaakapitu"/>
    <w:uiPriority w:val="22"/>
    <w:qFormat/>
    <w:rsid w:val="00A71516"/>
    <w:rPr>
      <w:b/>
      <w:bCs/>
    </w:rPr>
  </w:style>
  <w:style w:type="paragraph" w:customStyle="1" w:styleId="Default">
    <w:name w:val="Default"/>
    <w:rsid w:val="00A71516"/>
    <w:pPr>
      <w:autoSpaceDE w:val="0"/>
      <w:autoSpaceDN w:val="0"/>
      <w:adjustRightInd w:val="0"/>
      <w:spacing w:after="0" w:line="240" w:lineRule="auto"/>
    </w:pPr>
    <w:rPr>
      <w:rFonts w:ascii="Poppins" w:hAnsi="Poppins" w:cs="Poppins"/>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7" ma:contentTypeDescription="Utwórz nowy dokument." ma:contentTypeScope="" ma:versionID="d816aae71497eccf5af8159b20abc905">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ae10a332902c7ca0deec73047f7fcaa"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2.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3.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4.xml><?xml version="1.0" encoding="utf-8"?>
<ds:datastoreItem xmlns:ds="http://schemas.openxmlformats.org/officeDocument/2006/customXml" ds:itemID="{3171A349-BC2C-4EEA-8F16-0722B12EB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6357</Words>
  <Characters>38145</Characters>
  <Application>Microsoft Office Word</Application>
  <DocSecurity>0</DocSecurity>
  <Lines>317</Lines>
  <Paragraphs>88</Paragraphs>
  <ScaleCrop>false</ScaleCrop>
  <Company/>
  <LinksUpToDate>false</LinksUpToDate>
  <CharactersWithSpaces>44414</CharactersWithSpaces>
  <SharedDoc>false</SharedDoc>
  <HLinks>
    <vt:vector size="24" baseType="variant">
      <vt:variant>
        <vt:i4>5111834</vt:i4>
      </vt:variant>
      <vt:variant>
        <vt:i4>12</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2097188</vt:i4>
      </vt:variant>
      <vt:variant>
        <vt:i4>0</vt:i4>
      </vt:variant>
      <vt:variant>
        <vt:i4>0</vt:i4>
      </vt:variant>
      <vt:variant>
        <vt:i4>5</vt:i4>
      </vt:variant>
      <vt:variant>
        <vt:lpwstr>http://www.bazakonkurencyjnosci.gov.pl/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Aneta Szeląg</cp:lastModifiedBy>
  <cp:revision>194</cp:revision>
  <cp:lastPrinted>2022-10-10T14:35:00Z</cp:lastPrinted>
  <dcterms:created xsi:type="dcterms:W3CDTF">2022-10-10T18:39:00Z</dcterms:created>
  <dcterms:modified xsi:type="dcterms:W3CDTF">2023-06-26T11:33:00Z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