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BA" w:rsidRPr="00D81FFF" w:rsidRDefault="000F184C">
      <w:pPr>
        <w:spacing w:after="160" w:line="259" w:lineRule="auto"/>
        <w:rPr>
          <w:rFonts w:ascii="Calibri" w:eastAsia="Calibri" w:hAnsi="Calibri" w:cs="Calibri"/>
          <w:b/>
          <w:sz w:val="32"/>
          <w:szCs w:val="32"/>
          <w:vertAlign w:val="subscript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Zadanie nr. </w:t>
      </w:r>
    </w:p>
    <w:p w:rsidR="001F45BA" w:rsidRDefault="000F184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Nazwa: Serwer do przechowywania danych materiałów dydaktycznych</w:t>
      </w:r>
    </w:p>
    <w:p w:rsidR="001F45BA" w:rsidRDefault="000F184C">
      <w:pPr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Opis parametrów przedmiotu oferty oraz parametrów ofertowych</w:t>
      </w:r>
    </w:p>
    <w:tbl>
      <w:tblPr>
        <w:tblStyle w:val="a3"/>
        <w:tblW w:w="1446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4260"/>
        <w:gridCol w:w="915"/>
        <w:gridCol w:w="7425"/>
      </w:tblGrid>
      <w:tr w:rsidR="001F45BA">
        <w:tc>
          <w:tcPr>
            <w:tcW w:w="14460" w:type="dxa"/>
            <w:gridSpan w:val="4"/>
          </w:tcPr>
          <w:p w:rsidR="001F45BA" w:rsidRDefault="000F18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Nazwa przedmiotu zamówienia: Dostawa sprzętu multimedialnego do Wyższej Szkoły Ekonomicznej w Białymstoku</w:t>
            </w:r>
          </w:p>
        </w:tc>
      </w:tr>
      <w:tr w:rsidR="001F45BA">
        <w:tc>
          <w:tcPr>
            <w:tcW w:w="6120" w:type="dxa"/>
            <w:gridSpan w:val="2"/>
          </w:tcPr>
          <w:p w:rsidR="001F45BA" w:rsidRDefault="000F18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Wymagane </w:t>
            </w:r>
            <w:r>
              <w:rPr>
                <w:rFonts w:ascii="Calibri" w:eastAsia="Calibri" w:hAnsi="Calibri" w:cs="Calibri"/>
                <w:u w:val="single"/>
              </w:rPr>
              <w:t>minimalne parametry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1F45BA" w:rsidRDefault="000F18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warunki graniczne przedmiotu oferty</w:t>
            </w:r>
          </w:p>
        </w:tc>
        <w:tc>
          <w:tcPr>
            <w:tcW w:w="915" w:type="dxa"/>
          </w:tcPr>
          <w:p w:rsidR="001F45BA" w:rsidRDefault="000F18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Szt.</w:t>
            </w:r>
            <w:r>
              <w:rPr>
                <w:rFonts w:ascii="Calibri" w:eastAsia="Calibri" w:hAnsi="Calibri" w:cs="Calibri"/>
              </w:rPr>
              <w:br/>
              <w:t>/</w:t>
            </w:r>
            <w:proofErr w:type="spellStart"/>
            <w:r>
              <w:rPr>
                <w:rFonts w:ascii="Calibri" w:eastAsia="Calibri" w:hAnsi="Calibri" w:cs="Calibri"/>
              </w:rPr>
              <w:t>kpl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425" w:type="dxa"/>
          </w:tcPr>
          <w:p w:rsidR="001F45BA" w:rsidRDefault="000F18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 parametrów oferowanych</w:t>
            </w:r>
          </w:p>
          <w:p w:rsidR="001F45BA" w:rsidRDefault="000F18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Należy podać parametry lub cechy oferowanego wyposażenia oraz urządzeń lub potwierdzić wymagane parametry i funkcjonalności*</w:t>
            </w:r>
          </w:p>
          <w:p w:rsidR="001F45BA" w:rsidRDefault="000F18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color w:val="FF0000"/>
              </w:rPr>
              <w:t>Wypełnia Wykonawca/ Dostawca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1F45BA">
        <w:tc>
          <w:tcPr>
            <w:tcW w:w="14460" w:type="dxa"/>
            <w:gridSpan w:val="4"/>
            <w:shd w:val="clear" w:color="auto" w:fill="F2F2F2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Nr. 1. Serwer do przechowywania danych materiałów dydaktycznych</w:t>
            </w:r>
          </w:p>
        </w:tc>
      </w:tr>
      <w:tr w:rsidR="001F45BA">
        <w:trPr>
          <w:trHeight w:val="32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Obudowa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 xml:space="preserve">Obudowa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Rack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o wysokości max 1U z możliwością instalacji </w:t>
            </w:r>
            <w:r w:rsidR="00D81FFF">
              <w:rPr>
                <w:rFonts w:asciiTheme="minorHAnsi" w:eastAsia="Calibri" w:hAnsiTheme="minorHAnsi" w:cstheme="minorHAnsi"/>
              </w:rPr>
              <w:t>4</w:t>
            </w:r>
            <w:r w:rsidRPr="000F184C">
              <w:rPr>
                <w:rFonts w:asciiTheme="minorHAnsi" w:eastAsia="Calibri" w:hAnsiTheme="minorHAnsi" w:cstheme="minorHAnsi"/>
              </w:rPr>
              <w:t xml:space="preserve"> dysków </w:t>
            </w:r>
            <w:r w:rsidR="00D81FFF">
              <w:rPr>
                <w:rFonts w:asciiTheme="minorHAnsi" w:eastAsia="Calibri" w:hAnsiTheme="minorHAnsi" w:cstheme="minorHAnsi"/>
              </w:rPr>
              <w:t>3</w:t>
            </w:r>
            <w:r w:rsidRPr="000F184C">
              <w:rPr>
                <w:rFonts w:asciiTheme="minorHAnsi" w:eastAsia="Calibri" w:hAnsiTheme="minorHAnsi" w:cstheme="minorHAnsi"/>
              </w:rPr>
              <w:t xml:space="preserve">,5” wraz z kompletem wysuwanych szyn umożliwiających montaż w szafie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rack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i wysuwanie serwera do celów serwisowych oraz organizatorem do kabli.</w:t>
            </w:r>
          </w:p>
          <w:p w:rsidR="001F45BA" w:rsidRPr="000F184C" w:rsidRDefault="000F184C">
            <w:pPr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  <w:b/>
                <w:i/>
              </w:rPr>
              <w:t>Musi być podana Marka i Model.</w:t>
            </w:r>
            <w:r w:rsidRPr="000F184C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1F45BA" w:rsidRDefault="000F184C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 szt.</w:t>
            </w:r>
          </w:p>
        </w:tc>
        <w:tc>
          <w:tcPr>
            <w:tcW w:w="7425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Producent ………………………………………                                                                                   </w:t>
            </w:r>
          </w:p>
          <w:p w:rsidR="001F45BA" w:rsidRDefault="000F184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Nazwa handlowa oferowanego wyrobu: …………………………                                                                     Typ/nr katalogowy/symbol …………………………………………                                           Opis: ……........................................</w:t>
            </w:r>
          </w:p>
          <w:p w:rsidR="001F45BA" w:rsidRDefault="001F45B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Płyta główna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Płyta główna z możliwością zainstalowania jednego procesora. Płyta główna musi być zaprojektowana przez producenta serwera i oznaczona jego znakiem firmowym.</w:t>
            </w:r>
          </w:p>
        </w:tc>
        <w:tc>
          <w:tcPr>
            <w:tcW w:w="915" w:type="dxa"/>
            <w:vMerge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  <w:bookmarkStart w:id="0" w:name="_heading=h.1fob9te" w:colFirst="0" w:colLast="0"/>
            <w:bookmarkEnd w:id="0"/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Chipset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Dedykowany przez producenta procesora do pracy w serwerach jednoprocesorowych</w:t>
            </w:r>
          </w:p>
        </w:tc>
        <w:tc>
          <w:tcPr>
            <w:tcW w:w="915" w:type="dxa"/>
            <w:vMerge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Procesor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Jeden procesor 8-rdzeniowy, min. 2.</w:t>
            </w:r>
            <w:r w:rsidR="00E06E91">
              <w:rPr>
                <w:rFonts w:asciiTheme="minorHAnsi" w:eastAsia="Calibri" w:hAnsiTheme="minorHAnsi" w:cstheme="minorHAnsi"/>
              </w:rPr>
              <w:t>8</w:t>
            </w:r>
            <w:r w:rsidRPr="000F184C">
              <w:rPr>
                <w:rFonts w:asciiTheme="minorHAnsi" w:eastAsia="Calibri" w:hAnsiTheme="minorHAnsi" w:cstheme="minorHAnsi"/>
              </w:rPr>
              <w:t xml:space="preserve">GHz, umożliwiający osiągnięcie wyniku min. </w:t>
            </w:r>
            <w:r w:rsidR="00E06E91">
              <w:rPr>
                <w:rFonts w:asciiTheme="minorHAnsi" w:eastAsia="Calibri" w:hAnsiTheme="minorHAnsi" w:cstheme="minorHAnsi"/>
              </w:rPr>
              <w:t>6</w:t>
            </w:r>
            <w:r w:rsidR="00EE339D">
              <w:rPr>
                <w:rFonts w:asciiTheme="minorHAnsi" w:eastAsia="Calibri" w:hAnsiTheme="minorHAnsi" w:cstheme="minorHAnsi"/>
              </w:rPr>
              <w:t>5</w:t>
            </w:r>
            <w:r w:rsidRPr="000F184C">
              <w:rPr>
                <w:rFonts w:asciiTheme="minorHAnsi" w:eastAsia="Calibri" w:hAnsiTheme="minorHAnsi" w:cstheme="minorHAnsi"/>
              </w:rPr>
              <w:t xml:space="preserve"> w teście SPECrate2017_int_base dostępnym na stronie</w:t>
            </w:r>
            <w:hyperlink r:id="rId9">
              <w:r w:rsidRPr="000F184C">
                <w:rPr>
                  <w:rFonts w:asciiTheme="minorHAnsi" w:eastAsia="Calibri" w:hAnsiTheme="minorHAnsi" w:cstheme="minorHAnsi"/>
                </w:rPr>
                <w:t xml:space="preserve"> </w:t>
              </w:r>
            </w:hyperlink>
            <w:hyperlink r:id="rId10">
              <w:r w:rsidRPr="000F184C">
                <w:rPr>
                  <w:rFonts w:asciiTheme="minorHAnsi" w:eastAsia="Calibri" w:hAnsiTheme="minorHAnsi" w:cstheme="minorHAnsi"/>
                  <w:color w:val="1155CC"/>
                  <w:u w:val="single"/>
                </w:rPr>
                <w:t>www.spec.org</w:t>
              </w:r>
            </w:hyperlink>
            <w:r w:rsidRPr="000F184C">
              <w:rPr>
                <w:rFonts w:asciiTheme="minorHAnsi" w:eastAsia="Calibri" w:hAnsiTheme="minorHAnsi" w:cstheme="minorHAnsi"/>
              </w:rPr>
              <w:t xml:space="preserve"> w konfiguracji jednoprocesorowej.</w:t>
            </w:r>
          </w:p>
        </w:tc>
        <w:tc>
          <w:tcPr>
            <w:tcW w:w="915" w:type="dxa"/>
            <w:vMerge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0F184C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Pamięć RAM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after="240" w:line="276" w:lineRule="auto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2x16GB pamięci RAM ECC UDIMM o częstotliwości pracy 3200MT/s.</w:t>
            </w:r>
          </w:p>
          <w:p w:rsidR="001F45BA" w:rsidRPr="000F184C" w:rsidRDefault="000F18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 xml:space="preserve">Płyta powinna obsługiwać do min. 128GB, na płycie głównej powinno znajdować się minimum 4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sloty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przeznaczone dla pamięci</w:t>
            </w:r>
          </w:p>
        </w:tc>
        <w:tc>
          <w:tcPr>
            <w:tcW w:w="915" w:type="dxa"/>
            <w:vMerge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Karta graficzna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Zintegrowana karta graficzna umożliwiająca rozdzielczość min. 1920x1200</w:t>
            </w:r>
          </w:p>
        </w:tc>
        <w:tc>
          <w:tcPr>
            <w:tcW w:w="915" w:type="dxa"/>
            <w:vMerge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Wbudowane porty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min. 4 porty USB w tym 1 port USB 3.0 z tyłu obudowy, 1 port VGA na tylnym panelu, min. 1 port RS232</w:t>
            </w:r>
          </w:p>
        </w:tc>
        <w:tc>
          <w:tcPr>
            <w:tcW w:w="915" w:type="dxa"/>
            <w:vMerge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Gniazda PCI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 xml:space="preserve">Min. </w:t>
            </w:r>
            <w:r w:rsidR="00FF65FA">
              <w:rPr>
                <w:rFonts w:asciiTheme="minorHAnsi" w:eastAsia="Calibri" w:hAnsiTheme="minorHAnsi" w:cstheme="minorHAnsi"/>
              </w:rPr>
              <w:t>2</w:t>
            </w:r>
            <w:r w:rsidRPr="000F184C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sloty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PCIe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generacji 4</w:t>
            </w:r>
          </w:p>
        </w:tc>
        <w:tc>
          <w:tcPr>
            <w:tcW w:w="915" w:type="dxa"/>
            <w:vMerge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Interfejsy sieciowe/FC/SAS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F184C">
              <w:rPr>
                <w:rFonts w:asciiTheme="minorHAnsi" w:hAnsiTheme="minorHAnsi" w:cstheme="minorHAnsi"/>
              </w:rPr>
              <w:t xml:space="preserve">Musi być wbudowana w płytę główną dwuportowa karta Gigabit Ethernet. </w:t>
            </w:r>
          </w:p>
          <w:p w:rsidR="001F45BA" w:rsidRPr="000F184C" w:rsidRDefault="000F184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F184C">
              <w:rPr>
                <w:rFonts w:asciiTheme="minorHAnsi" w:hAnsiTheme="minorHAnsi" w:cstheme="minorHAnsi"/>
              </w:rPr>
              <w:t>W serwerze musi być zamontowana/zainstalowana dodatkowa karta sieciowa, dwuportowa z portami 10GbE SFP+.</w:t>
            </w:r>
          </w:p>
          <w:p w:rsidR="001F45BA" w:rsidRPr="000F184C" w:rsidRDefault="000F184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F184C">
              <w:rPr>
                <w:rFonts w:asciiTheme="minorHAnsi" w:hAnsiTheme="minorHAnsi" w:cstheme="minorHAnsi"/>
              </w:rPr>
              <w:t xml:space="preserve">Zamawiający wymaga dostarczenia jeden kabel 10GbE typu </w:t>
            </w:r>
            <w:proofErr w:type="spellStart"/>
            <w:r w:rsidRPr="000F184C">
              <w:rPr>
                <w:rFonts w:asciiTheme="minorHAnsi" w:hAnsiTheme="minorHAnsi" w:cstheme="minorHAnsi"/>
              </w:rPr>
              <w:t>twinax</w:t>
            </w:r>
            <w:proofErr w:type="spellEnd"/>
            <w:r w:rsidRPr="000F184C">
              <w:rPr>
                <w:rFonts w:asciiTheme="minorHAnsi" w:hAnsiTheme="minorHAnsi" w:cstheme="minorHAnsi"/>
              </w:rPr>
              <w:t xml:space="preserve"> o długość co najmniej 3 metrów.</w:t>
            </w:r>
          </w:p>
        </w:tc>
        <w:tc>
          <w:tcPr>
            <w:tcW w:w="915" w:type="dxa"/>
            <w:vMerge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Kontroler RAID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Sprzętowy kontroler dyskowy umożliwiające konfigurację RAID 0, 1, 10</w:t>
            </w:r>
          </w:p>
        </w:tc>
        <w:tc>
          <w:tcPr>
            <w:tcW w:w="915" w:type="dxa"/>
            <w:vMerge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Dyski twarde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widowControl w:val="0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Zainstalo</w:t>
            </w:r>
            <w:r w:rsidR="00FE5081">
              <w:rPr>
                <w:rFonts w:asciiTheme="minorHAnsi" w:eastAsia="Calibri" w:hAnsiTheme="minorHAnsi" w:cstheme="minorHAnsi"/>
              </w:rPr>
              <w:t xml:space="preserve">wane </w:t>
            </w:r>
            <w:r w:rsidR="00A35185">
              <w:rPr>
                <w:rFonts w:asciiTheme="minorHAnsi" w:eastAsia="Calibri" w:hAnsiTheme="minorHAnsi" w:cstheme="minorHAnsi"/>
              </w:rPr>
              <w:t>3</w:t>
            </w:r>
            <w:r w:rsidR="00FE5081">
              <w:rPr>
                <w:rFonts w:asciiTheme="minorHAnsi" w:eastAsia="Calibri" w:hAnsiTheme="minorHAnsi" w:cstheme="minorHAnsi"/>
              </w:rPr>
              <w:t xml:space="preserve"> dyski o pojemności min. </w:t>
            </w:r>
            <w:r w:rsidR="00EE339D">
              <w:rPr>
                <w:rFonts w:asciiTheme="minorHAnsi" w:eastAsia="Calibri" w:hAnsiTheme="minorHAnsi" w:cstheme="minorHAnsi"/>
              </w:rPr>
              <w:t>4</w:t>
            </w:r>
            <w:r w:rsidRPr="000F184C">
              <w:rPr>
                <w:rFonts w:asciiTheme="minorHAnsi" w:eastAsia="Calibri" w:hAnsiTheme="minorHAnsi" w:cstheme="minorHAnsi"/>
              </w:rPr>
              <w:t>TB 7.2k,</w:t>
            </w:r>
            <w:r w:rsidR="00EE339D">
              <w:rPr>
                <w:rFonts w:asciiTheme="minorHAnsi" w:eastAsia="Calibri" w:hAnsiTheme="minorHAnsi" w:cstheme="minorHAnsi"/>
              </w:rPr>
              <w:t>NL</w:t>
            </w:r>
            <w:r w:rsidRPr="000F184C">
              <w:rPr>
                <w:rFonts w:asciiTheme="minorHAnsi" w:eastAsia="Calibri" w:hAnsiTheme="minorHAnsi" w:cstheme="minorHAnsi"/>
              </w:rPr>
              <w:t>SAS 12Gb/s Hot-Plug.</w:t>
            </w:r>
          </w:p>
          <w:p w:rsidR="001F45BA" w:rsidRPr="000F184C" w:rsidRDefault="00FE5081">
            <w:pPr>
              <w:widowControl w:val="0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Serwer musi mieć </w:t>
            </w:r>
            <w:r w:rsidR="00B02C42">
              <w:rPr>
                <w:rFonts w:asciiTheme="minorHAnsi" w:eastAsia="Calibri" w:hAnsiTheme="minorHAnsi" w:cstheme="minorHAnsi"/>
              </w:rPr>
              <w:t xml:space="preserve">zainstalowane </w:t>
            </w:r>
            <w:r>
              <w:rPr>
                <w:rFonts w:asciiTheme="minorHAnsi" w:eastAsia="Calibri" w:hAnsiTheme="minorHAnsi" w:cstheme="minorHAnsi"/>
              </w:rPr>
              <w:t>dwa dyski M.2 SATA o pojemności min. 240</w:t>
            </w:r>
            <w:r w:rsidR="000F184C" w:rsidRPr="000F184C">
              <w:rPr>
                <w:rFonts w:asciiTheme="minorHAnsi" w:eastAsia="Calibri" w:hAnsiTheme="minorHAnsi" w:cstheme="minorHAnsi"/>
              </w:rPr>
              <w:t>GB Hot-Plug z możliwością konfiguracji RAID 1.</w:t>
            </w:r>
          </w:p>
          <w:p w:rsidR="001F45BA" w:rsidRPr="000F184C" w:rsidRDefault="000F184C">
            <w:pPr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hAnsiTheme="minorHAnsi" w:cstheme="minorHAnsi"/>
              </w:rPr>
              <w:t xml:space="preserve">Serwer musi mieć </w:t>
            </w:r>
            <w:r w:rsidR="00FE5081">
              <w:rPr>
                <w:rFonts w:asciiTheme="minorHAnsi" w:hAnsiTheme="minorHAnsi" w:cstheme="minorHAnsi"/>
              </w:rPr>
              <w:t>możliwość zamontowania nośnika</w:t>
            </w:r>
            <w:r w:rsidRPr="000F184C">
              <w:rPr>
                <w:rFonts w:asciiTheme="minorHAnsi" w:hAnsiTheme="minorHAnsi" w:cstheme="minorHAnsi"/>
              </w:rPr>
              <w:t xml:space="preserve"> typu </w:t>
            </w:r>
            <w:proofErr w:type="spellStart"/>
            <w:r w:rsidRPr="000F184C">
              <w:rPr>
                <w:rFonts w:asciiTheme="minorHAnsi" w:hAnsiTheme="minorHAnsi" w:cstheme="minorHAnsi"/>
              </w:rPr>
              <w:t>flash</w:t>
            </w:r>
            <w:proofErr w:type="spellEnd"/>
            <w:r w:rsidRPr="000F184C">
              <w:rPr>
                <w:rFonts w:asciiTheme="minorHAnsi" w:hAnsiTheme="minorHAnsi" w:cstheme="minorHAnsi"/>
              </w:rPr>
              <w:t xml:space="preserve"> o </w:t>
            </w:r>
            <w:r w:rsidR="00FE5081">
              <w:rPr>
                <w:rFonts w:asciiTheme="minorHAnsi" w:hAnsiTheme="minorHAnsi" w:cstheme="minorHAnsi"/>
              </w:rPr>
              <w:lastRenderedPageBreak/>
              <w:t>pojemności min. 16</w:t>
            </w:r>
            <w:r w:rsidRPr="000F184C">
              <w:rPr>
                <w:rFonts w:asciiTheme="minorHAnsi" w:hAnsiTheme="minorHAnsi" w:cstheme="minorHAnsi"/>
              </w:rPr>
              <w:t>GB każdy. Rozwiązanie nie może powodować zmniejszenia ilości wnęk na dyski twarde.</w:t>
            </w:r>
          </w:p>
          <w:p w:rsidR="001F45BA" w:rsidRPr="000F184C" w:rsidRDefault="001F45BA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15" w:type="dxa"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Diagnostyka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 xml:space="preserve">Wyposażony w panel LCD umieszczony na froncie obudowy, umożliwiający wyświetlenie informacji o stanie procesora, pamięci, dysków,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BIOS’u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>, zasilaniu oraz temperaturze.</w:t>
            </w:r>
          </w:p>
        </w:tc>
        <w:tc>
          <w:tcPr>
            <w:tcW w:w="915" w:type="dxa"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Wentylatory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Minimum 4 wentylatory</w:t>
            </w:r>
          </w:p>
        </w:tc>
        <w:tc>
          <w:tcPr>
            <w:tcW w:w="915" w:type="dxa"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Zasilacze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Redundantne, o mocy maks. 600W.</w:t>
            </w:r>
          </w:p>
        </w:tc>
        <w:tc>
          <w:tcPr>
            <w:tcW w:w="915" w:type="dxa"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Bezpieczeństwo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Zatrzask górnej pokrywy oraz blokada na ramce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panela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zamykana na klucz służąca do ochrony nieautoryzowanego dostępu do dysków twardych.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wyłączenia w BIOS funkcji przycisku zasilania.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BIOS ma możliwość przejścia do bezpiecznego trybu rozruchowego z możliwością zarządzania blokadą zasilania, panelem sterowania oraz zmianą hasła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Wbudowany czujnik otwarcia obudowy współpracujący z BIOS i kartą zarządzającą.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Moduł TPM 2.0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Możliwość dynamicznego włączania I wyłączania portów USB na obudowie – bez potrzeby restartu serwera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Możliwość wymazania danych ze znajdujących się dysków wewnątrz serwera – niezależne od zainstalowanego systemu operacyjnego, uruchamiane z poziomu zarządzania serwerem</w:t>
            </w:r>
          </w:p>
          <w:p w:rsidR="001F45BA" w:rsidRPr="000F184C" w:rsidRDefault="001F45BA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15" w:type="dxa"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Karta Zarządzania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Niezależna od zainstalowanego na serwerze systemu operacyjnego posiadająca dedykowany port Gigabit Ethernet RJ-45 i umożliwiająca: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zdalny dostęp do graficznego interfejsu Web karty zarządzającej;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zdalne monitorowanie i informowanie o statusie serwera (m.in. prędkości obrotowej wentylatorów, konfiguracji serwera);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szyfrowane połączenie (TLS) oraz autentykacje i autoryzację użytkownika;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możliwość podmontowania zdalnych wirtualnych napędów;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wirtualną konsolę z dostępem do myszy, klawiatury;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wsparcie dla IPv6;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wsparcie dla WSMAN (Web Service for Management); SNMP; IPMI2.0, SSH,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Redfish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>;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możliwość zdalnego monitorowania w czasie rzeczywistym poboru prądu przez serwer;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możliwość zdalnego ustawienia limitu poboru prądu przez konkretny serwer;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integracja z Active Directory;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możliwość obsługi przez dwóch administratorów jednocześnie;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wsparcie dla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dynamic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DNS;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wysyłanie do administratora maila z powiadomieniem o awarii lub zmianie konfiguracji sprzętowej.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możliwość bezpośredniego zarządzania poprzez dedykowany port USB na przednim panelu serwera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zarządzania do 100 serwerów </w:t>
            </w:r>
            <w:r w:rsidRPr="000F184C">
              <w:rPr>
                <w:rFonts w:asciiTheme="minorHAnsi" w:eastAsia="Calibri" w:hAnsiTheme="minorHAnsi" w:cstheme="minorHAnsi"/>
              </w:rPr>
              <w:lastRenderedPageBreak/>
              <w:t>bezpośrednio z konsoli karty zarządzającej pojedynczego serwera</w:t>
            </w:r>
          </w:p>
          <w:p w:rsidR="001F45BA" w:rsidRPr="000F184C" w:rsidRDefault="001F45BA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:rsidR="001F45BA" w:rsidRPr="000F184C" w:rsidRDefault="001F45BA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15" w:type="dxa"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Oprogramowanie do zarządzania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 xml:space="preserve">Możliwość zainstalowania oprogramowania producenta do zarządzania, spełniającego poniższe wymagania: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Wsparcie dla serwerów, urządzeń sieciowych oraz pamięci masowych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integracja z Active Directory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zarządzania dostarczonymi serwerami bez udziału dedykowanego agenta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Wsparcie dla protokołów SNMP, IPMI, Linux SSH,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Redfish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uruchamiania procesu wykrywania urządzeń w oparciu o harmonogram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Szczegółowy opis wykrytych systemów oraz ich komponentów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eksportu raportu do CSV, HTML, XLS, PDF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tworzenia własnych raportów w oparciu o wszystkie informacje zawarte w inwentarzu.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Grupowanie urządzeń w oparciu o kryteria użytkownika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Tworzenie automatycznie grup urządzeń w oparciu o dowolny element konfiguracji serwera np. Nazwa, lokalizacja, system operacyjny, obsadzenie slotów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PCIe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, pozostałego czasu gwarancji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uruchamiania narzędzi zarządzających w poszczególnych urządzeniach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Szybki podgląd stanu środowiska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lastRenderedPageBreak/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Podsumowanie stanu dla każdego urządzenia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Szczegółowy status urządzenia/elementu/komponentu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Generowanie alertów przy zmianie stanu urządzenia.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Filtry raportów umożliwiające podgląd najważniejszych zdarzeń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Integracja z service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desk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producenta dostarczonej platformy sprzętowej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przejęcia zdalnego pulpitu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podmontowania wirtualnego napędu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Kreator umożliwiający dostosowanie akcji dla wybranych alertów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importu plików MIB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>Przesyłanie alertów „as-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is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” do innych konsol firm trzecich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definiowania ról administratorów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zdalnej aktualizacji oprogramowania wewnętrznego serwerów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Aktualizacja oparta o wybranie źródła bibliotek (lokalna, on-line producenta oferowanego rozwiązania)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instalacji oprogramowania wewnętrznego bez potrzeby instalacji agenta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automatycznego generowania i zgłaszania incydentów awarii bezpośrednio do centrum serwisowego producenta serwerów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Moduł raportujący pozwalający na wygenerowanie następujących informacji: nr </w:t>
            </w:r>
            <w:r w:rsidRPr="000F184C">
              <w:rPr>
                <w:rFonts w:asciiTheme="minorHAnsi" w:eastAsia="Calibri" w:hAnsiTheme="minorHAnsi" w:cstheme="minorHAnsi"/>
              </w:rPr>
              <w:lastRenderedPageBreak/>
              <w:t xml:space="preserve">seryjne sprzętu, konfiguracja poszczególnych urządzeń, wersje oprogramowania wewnętrznego, obsadzenie slotów PCI i gniazd pamięci, informację o maszynach wirtualnych, aktualne informacje o stanie i poziomie gwarancji, adresy IP kart sieciowych, występujących alertów, MAC adresów kart sieciowych, stanie poszczególnych komponentów serwera.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tworzenia sprzętowej konfiguracji bazowej i na jej podstawie weryfikacji środowiska w celu wykrycia rozbieżności.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Wdrażanie serwerów, rozwiązań modularnych oraz przełączników sieciowych w oparciu o profile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Możliwość migracji ustawień serwera wraz z wirtualnymi adresami sieciowymi (MAC, WWN, IQN) między urządzeniami.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Tworzenie gotowych paczek informacji umożliwiających zdiagnozowanie awarii urządzenia przez serwis producenta.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Zdalne uruchamianie diagnostyki serwera.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Dedykowana aplikacja na urządzenia mobilne integrująca się z wyżej opisanymi oprogramowaniem zarządzającym.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•</w:t>
            </w:r>
            <w:r w:rsidRPr="000F184C">
              <w:rPr>
                <w:rFonts w:asciiTheme="minorHAnsi" w:eastAsia="Calibri" w:hAnsiTheme="minorHAnsi" w:cstheme="minorHAnsi"/>
              </w:rPr>
              <w:tab/>
              <w:t xml:space="preserve">Oprogramowanie dostarczane jako wirtualny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appliance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dla KVM,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ESXi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i Hyper-V. </w:t>
            </w:r>
          </w:p>
        </w:tc>
        <w:tc>
          <w:tcPr>
            <w:tcW w:w="915" w:type="dxa"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:rsidRPr="00E97311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Certyfikaty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Serwer musi być wyprodukowany zgodnie z normą ISO-9001:2015, ISO-50001 oraz ISO-14001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Serwer musi posiadać deklaracja CE.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 xml:space="preserve">Oferowane produkty muszą zawierać informacje </w:t>
            </w:r>
            <w:r w:rsidRPr="000F184C">
              <w:rPr>
                <w:rFonts w:asciiTheme="minorHAnsi" w:eastAsia="Calibri" w:hAnsiTheme="minorHAnsi" w:cstheme="minorHAnsi"/>
              </w:rPr>
              <w:lastRenderedPageBreak/>
              <w:t xml:space="preserve">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Dyrektywy WEEE 2002/96/EC.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www.epeat.net potwierdzający spełnienie normy co najmniej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Epeat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Bronze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według normy wprowadzonej w 2019 roku.</w:t>
            </w:r>
          </w:p>
          <w:p w:rsidR="001F45BA" w:rsidRPr="00E97311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E97311">
              <w:rPr>
                <w:rFonts w:asciiTheme="minorHAnsi" w:eastAsia="Calibri" w:hAnsiTheme="minorHAnsi" w:cstheme="minorHAnsi"/>
              </w:rPr>
              <w:t xml:space="preserve">Oferowany serwer musi znajdować się na liście Windows Server </w:t>
            </w:r>
            <w:proofErr w:type="spellStart"/>
            <w:r w:rsidRPr="00E97311">
              <w:rPr>
                <w:rFonts w:asciiTheme="minorHAnsi" w:eastAsia="Calibri" w:hAnsiTheme="minorHAnsi" w:cstheme="minorHAnsi"/>
              </w:rPr>
              <w:t>Catalog</w:t>
            </w:r>
            <w:proofErr w:type="spellEnd"/>
            <w:r w:rsidRPr="00E97311">
              <w:rPr>
                <w:rFonts w:asciiTheme="minorHAnsi" w:eastAsia="Calibri" w:hAnsiTheme="minorHAnsi" w:cstheme="minorHAnsi"/>
              </w:rPr>
              <w:t xml:space="preserve"> i posiadać status „</w:t>
            </w:r>
            <w:proofErr w:type="spellStart"/>
            <w:r w:rsidRPr="00E97311">
              <w:rPr>
                <w:rFonts w:asciiTheme="minorHAnsi" w:eastAsia="Calibri" w:hAnsiTheme="minorHAnsi" w:cstheme="minorHAnsi"/>
              </w:rPr>
              <w:t>Certified</w:t>
            </w:r>
            <w:proofErr w:type="spellEnd"/>
            <w:r w:rsidRPr="00E97311">
              <w:rPr>
                <w:rFonts w:asciiTheme="minorHAnsi" w:eastAsia="Calibri" w:hAnsiTheme="minorHAnsi" w:cstheme="minorHAnsi"/>
              </w:rPr>
              <w:t xml:space="preserve"> for Windows” dla systemów Microsoft </w:t>
            </w:r>
            <w:proofErr w:type="spellStart"/>
            <w:r w:rsidRPr="00E97311">
              <w:rPr>
                <w:rFonts w:asciiTheme="minorHAnsi" w:eastAsia="Calibri" w:hAnsiTheme="minorHAnsi" w:cstheme="minorHAnsi"/>
              </w:rPr>
              <w:t>Microsoft</w:t>
            </w:r>
            <w:proofErr w:type="spellEnd"/>
            <w:r w:rsidRPr="00E97311">
              <w:rPr>
                <w:rFonts w:asciiTheme="minorHAnsi" w:eastAsia="Calibri" w:hAnsiTheme="minorHAnsi" w:cstheme="minorHAnsi"/>
              </w:rPr>
              <w:t xml:space="preserve"> Windows Server 2019, Microsoft Windows Server 2022.</w:t>
            </w:r>
          </w:p>
        </w:tc>
        <w:tc>
          <w:tcPr>
            <w:tcW w:w="915" w:type="dxa"/>
            <w:shd w:val="clear" w:color="auto" w:fill="FFFFFF"/>
          </w:tcPr>
          <w:p w:rsidR="001F45BA" w:rsidRPr="00E97311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Pr="00E97311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Dokumentacja użytkownika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Zamawiający wymaga dokumentacji w języku polskim lub angielskim.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 xml:space="preserve">Możliwość telefonicznego sprawdzenia konfiguracji sprzętowej serwera oraz warunków gwarancji po podaniu numeru seryjnego bezpośrednio u producenta lub jego </w:t>
            </w:r>
            <w:r w:rsidRPr="000F184C">
              <w:rPr>
                <w:rFonts w:asciiTheme="minorHAnsi" w:eastAsia="Calibri" w:hAnsiTheme="minorHAnsi" w:cstheme="minorHAnsi"/>
              </w:rPr>
              <w:lastRenderedPageBreak/>
              <w:t>przedstawiciela.</w:t>
            </w:r>
          </w:p>
        </w:tc>
        <w:tc>
          <w:tcPr>
            <w:tcW w:w="915" w:type="dxa"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>
        <w:trPr>
          <w:trHeight w:val="200"/>
        </w:trPr>
        <w:tc>
          <w:tcPr>
            <w:tcW w:w="1860" w:type="dxa"/>
            <w:shd w:val="clear" w:color="auto" w:fill="FFFFFF"/>
          </w:tcPr>
          <w:p w:rsidR="001F45BA" w:rsidRDefault="000F184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Warunki gwarancji</w:t>
            </w:r>
          </w:p>
        </w:tc>
        <w:tc>
          <w:tcPr>
            <w:tcW w:w="4260" w:type="dxa"/>
            <w:shd w:val="clear" w:color="auto" w:fill="FFFFFF"/>
          </w:tcPr>
          <w:p w:rsidR="001F45BA" w:rsidRPr="000F184C" w:rsidRDefault="00257396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  <w:r w:rsidR="000F184C" w:rsidRPr="000F184C">
              <w:rPr>
                <w:rFonts w:asciiTheme="minorHAnsi" w:eastAsia="Calibri" w:hAnsiTheme="minorHAnsi" w:cstheme="minorHAnsi"/>
              </w:rPr>
              <w:t xml:space="preserve"> lat</w:t>
            </w:r>
            <w:r>
              <w:rPr>
                <w:rFonts w:asciiTheme="minorHAnsi" w:eastAsia="Calibri" w:hAnsiTheme="minorHAnsi" w:cstheme="minorHAnsi"/>
              </w:rPr>
              <w:t>a</w:t>
            </w:r>
            <w:r w:rsidR="000F184C" w:rsidRPr="000F184C">
              <w:rPr>
                <w:rFonts w:asciiTheme="minorHAnsi" w:eastAsia="Calibri" w:hAnsiTheme="minorHAnsi" w:cstheme="minorHAnsi"/>
              </w:rPr>
              <w:t xml:space="preserve"> gwarancji producenta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Zamawiający oczekuje możliwości zgłaszania zdarzeń serwisowych w trybie 24/7/365 następującymi kanałami: telefonicznie, przez Internet oraz z wykorzys</w:t>
            </w:r>
            <w:bookmarkStart w:id="1" w:name="_GoBack"/>
            <w:bookmarkEnd w:id="1"/>
            <w:r w:rsidRPr="000F184C">
              <w:rPr>
                <w:rFonts w:asciiTheme="minorHAnsi" w:eastAsia="Calibri" w:hAnsiTheme="minorHAnsi" w:cstheme="minorHAnsi"/>
              </w:rPr>
              <w:t xml:space="preserve">taniem aplikacji.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 xml:space="preserve">Zamawiający oczekuje rozpoczęcia diagnostyki telefonicznej / internetowej już w momencie dokonania zgłoszenia. Certyfikowany Technik wykonawcy / producenta z właściwym zestawem części do naprawy (potwierdzonym na etapie diagnostyki) ma rozpocząć naprawę w siedzibie zamawiającego najpóźniej w następnym dniu roboczym (NBD) od otrzymania zgłoszenia / zakończenia diagnostyki. Naprawa ma się odbywać w siedzibie zamawiającego, chyba, że zamawiający dla danej naprawy zgodzi się na inną formę. 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Zamawiający oczekuje bezpośredniego dostępu do wykwalifikowanej kadry inżynierów technicznych a w przypadku konieczności eskalacji zgłoszenia serwisowego wyznaczonego Kierownika Eskalacji po stronie wykonawcy.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 xml:space="preserve">Zamawiający wymaga pojedynczego punktu kontaktu dla całego rozwiązania producenta, w tym także sprzedanego oprogramowania.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Zgłoszenie przyjęte jest potwierdzane przez zespół pomocy technicznej (mail/telefon / aplikacja / portal) przez nadanie unikalnego numeru zgłoszenia pozwalającego na identyfikację zgłoszenia w trakcie realizacji naprawy i po jej zakończeniu.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 xml:space="preserve">Zamawiający oczekuje możliwości samodzielnego </w:t>
            </w:r>
            <w:r w:rsidRPr="000F184C">
              <w:rPr>
                <w:rFonts w:asciiTheme="minorHAnsi" w:eastAsia="Calibri" w:hAnsiTheme="minorHAnsi" w:cstheme="minorHAnsi"/>
              </w:rPr>
              <w:lastRenderedPageBreak/>
              <w:t xml:space="preserve">kwalifikowania poziomu ważności naprawy.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 xml:space="preserve">Możliwość sprawdzenia statusu gwarancji poprzez stronę producenta podając unikatowy numer urządzenia oraz pobieranie uaktualnień </w:t>
            </w:r>
            <w:proofErr w:type="spellStart"/>
            <w:r w:rsidRPr="000F184C">
              <w:rPr>
                <w:rFonts w:asciiTheme="minorHAnsi" w:eastAsia="Calibri" w:hAnsiTheme="minorHAnsi" w:cstheme="minorHAnsi"/>
              </w:rPr>
              <w:t>mikrokodu</w:t>
            </w:r>
            <w:proofErr w:type="spellEnd"/>
            <w:r w:rsidRPr="000F184C">
              <w:rPr>
                <w:rFonts w:asciiTheme="minorHAnsi" w:eastAsia="Calibri" w:hAnsiTheme="minorHAnsi" w:cstheme="minorHAnsi"/>
              </w:rPr>
              <w:t xml:space="preserve"> oraz sterowników nawet w przypadku wygaśnięcia gwarancji serwera.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 xml:space="preserve">Zamawiający oczekuje nieodpłatnego udostępnienia narzędzi serwisowych i procesów wsparcia umożliwiających: Wykrywanie usterek sprzętowych z predykcją awarii. 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Automatyczną diagnostykę i zdalne otwieranie zgłoszeń serwisowych.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Zamawiający wymaga od podmiotu realizującego serwis lub producenta sprzętu dołączenia do oferty oświadczenia, że w przypadku wystąpienia awarii dysku twardego w urządzeniu objętym aktywnym wparciem technicznym, uszkodzony dysk twardy pozostaje u Zamawiającego.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Możliwość rozszerzenia gwarancji przez producenta do 7 lat.</w:t>
            </w:r>
          </w:p>
          <w:p w:rsidR="001F45BA" w:rsidRPr="000F184C" w:rsidRDefault="000F184C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</w:rPr>
              <w:t>Firma serwisująca musi posiadać ISO 9001:2015 oraz ISO-27001 na świadczenie usług serwisowych oraz posiadać autoryzacje producenta urządzeń.</w:t>
            </w:r>
          </w:p>
        </w:tc>
        <w:tc>
          <w:tcPr>
            <w:tcW w:w="915" w:type="dxa"/>
            <w:shd w:val="clear" w:color="auto" w:fill="FFFFFF"/>
          </w:tcPr>
          <w:p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1F45BA" w:rsidRDefault="001F45BA">
      <w:pPr>
        <w:spacing w:before="240"/>
        <w:rPr>
          <w:rFonts w:ascii="Calibri" w:eastAsia="Calibri" w:hAnsi="Calibri" w:cs="Calibri"/>
          <w:b/>
          <w:i/>
        </w:rPr>
      </w:pPr>
    </w:p>
    <w:p w:rsidR="001F45BA" w:rsidRDefault="001F45BA">
      <w:pPr>
        <w:spacing w:before="240"/>
        <w:rPr>
          <w:rFonts w:ascii="Calibri" w:eastAsia="Calibri" w:hAnsi="Calibri" w:cs="Calibri"/>
          <w:b/>
          <w:i/>
        </w:rPr>
      </w:pPr>
    </w:p>
    <w:p w:rsidR="001F45BA" w:rsidRDefault="000F184C">
      <w:pPr>
        <w:spacing w:before="24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UWAGA!</w:t>
      </w:r>
    </w:p>
    <w:p w:rsidR="001F45BA" w:rsidRDefault="000F184C">
      <w:pPr>
        <w:spacing w:before="24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i/>
        </w:rPr>
        <w:t xml:space="preserve">*w rubryce Opis parametrów oferowanych nie dopuszcza się użycia sformułowań oraz zapisów typu: zgodnie z </w:t>
      </w:r>
      <w:proofErr w:type="spellStart"/>
      <w:r>
        <w:rPr>
          <w:rFonts w:ascii="Calibri" w:eastAsia="Calibri" w:hAnsi="Calibri" w:cs="Calibri"/>
          <w:i/>
        </w:rPr>
        <w:t>siwz</w:t>
      </w:r>
      <w:proofErr w:type="spellEnd"/>
      <w:r>
        <w:rPr>
          <w:rFonts w:ascii="Calibri" w:eastAsia="Calibri" w:hAnsi="Calibri" w:cs="Calibri"/>
          <w:i/>
        </w:rPr>
        <w:t xml:space="preserve">, w konfiguracji zgodnej z </w:t>
      </w:r>
      <w:proofErr w:type="spellStart"/>
      <w:r>
        <w:rPr>
          <w:rFonts w:ascii="Calibri" w:eastAsia="Calibri" w:hAnsi="Calibri" w:cs="Calibri"/>
          <w:i/>
        </w:rPr>
        <w:t>siwz</w:t>
      </w:r>
      <w:proofErr w:type="spellEnd"/>
      <w:r>
        <w:rPr>
          <w:rFonts w:ascii="Calibri" w:eastAsia="Calibri" w:hAnsi="Calibri" w:cs="Calibri"/>
          <w:i/>
        </w:rPr>
        <w:t xml:space="preserve"> itp. Bezwzględnie wymaga się podania precyzyjnych informacji oraz cech oferowanego urządzenia lub rozwiązania pozwalających na zweryfikowania wypełnienia przez oferowane wyroby i </w:t>
      </w:r>
      <w:r>
        <w:rPr>
          <w:rFonts w:ascii="Calibri" w:eastAsia="Calibri" w:hAnsi="Calibri" w:cs="Calibri"/>
          <w:i/>
        </w:rPr>
        <w:lastRenderedPageBreak/>
        <w:t xml:space="preserve">rozwiązania wymagań postawionych w postępowaniu przez zamawiającego. Zakres i rodzaj podanych informacji winien w sposób jednoznaczny definiować oferowany wyrób i zawierać informacje pozwalające zweryfikować jego cechy użytkowe w zestawieniu z wymogami. </w:t>
      </w:r>
      <w:r>
        <w:rPr>
          <w:rFonts w:ascii="Calibri" w:eastAsia="Calibri" w:hAnsi="Calibri" w:cs="Calibri"/>
          <w:i/>
          <w:u w:val="single"/>
        </w:rPr>
        <w:t>Kopiowanie treści zapisów z kolumny opisu przedmiotu zamówienia bez indywidualizacji opisu wynikającego z cech wyrobu oferowanego nie jest wypełnieniem wymogu zamawiającego</w:t>
      </w:r>
      <w:r>
        <w:rPr>
          <w:rFonts w:ascii="Calibri" w:eastAsia="Calibri" w:hAnsi="Calibri" w:cs="Calibri"/>
          <w:i/>
        </w:rPr>
        <w:t>;</w:t>
      </w:r>
    </w:p>
    <w:p w:rsidR="001F45BA" w:rsidRDefault="000F184C">
      <w:pPr>
        <w:spacing w:before="24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Oświadczamy, że oferowane przez nas produkty spełniają wszystkie wymogi określone w treści Załącznika.</w:t>
      </w:r>
    </w:p>
    <w:p w:rsidR="001F45BA" w:rsidRDefault="000F184C">
      <w:pPr>
        <w:spacing w:before="24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</w:t>
      </w:r>
    </w:p>
    <w:p w:rsidR="001F45BA" w:rsidRDefault="000F184C">
      <w:pPr>
        <w:spacing w:before="24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....................................... dnia.......................roku</w:t>
      </w:r>
    </w:p>
    <w:p w:rsidR="001F45BA" w:rsidRDefault="000F184C">
      <w:pPr>
        <w:spacing w:before="24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1F45BA" w:rsidRDefault="000F184C">
      <w:pPr>
        <w:spacing w:before="240" w:after="240"/>
        <w:ind w:left="7080" w:firstLine="7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...............................................................</w:t>
      </w:r>
    </w:p>
    <w:p w:rsidR="001F45BA" w:rsidRDefault="000F184C">
      <w:pPr>
        <w:spacing w:before="24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t xml:space="preserve">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i/>
        </w:rPr>
        <w:t>/podpis upoważnionego przedstawiciela/</w:t>
      </w:r>
    </w:p>
    <w:p w:rsidR="001F45BA" w:rsidRDefault="001F45BA">
      <w:pPr>
        <w:jc w:val="center"/>
        <w:rPr>
          <w:rFonts w:ascii="Calibri" w:eastAsia="Calibri" w:hAnsi="Calibri" w:cs="Calibri"/>
          <w:b/>
        </w:rPr>
      </w:pPr>
    </w:p>
    <w:p w:rsidR="001F45BA" w:rsidRDefault="001F45BA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</w:p>
    <w:p w:rsidR="001F45BA" w:rsidRDefault="001F45BA">
      <w:pPr>
        <w:rPr>
          <w:rFonts w:ascii="Calibri" w:eastAsia="Calibri" w:hAnsi="Calibri" w:cs="Calibri"/>
        </w:rPr>
      </w:pPr>
    </w:p>
    <w:sectPr w:rsidR="001F45B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10B" w:rsidRDefault="00A9210B">
      <w:r>
        <w:separator/>
      </w:r>
    </w:p>
  </w:endnote>
  <w:endnote w:type="continuationSeparator" w:id="0">
    <w:p w:rsidR="00A9210B" w:rsidRDefault="00A9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BA" w:rsidRDefault="000F18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-201290</wp:posOffset>
          </wp:positionH>
          <wp:positionV relativeFrom="paragraph">
            <wp:posOffset>95250</wp:posOffset>
          </wp:positionV>
          <wp:extent cx="706755" cy="588010"/>
          <wp:effectExtent l="0" t="0" r="0" b="0"/>
          <wp:wrapSquare wrapText="bothSides" distT="0" distB="0" distL="114300" distR="114300"/>
          <wp:docPr id="11" name="image2.jpg" descr="Obraz może zawierać: tekst „SZKOŁA WYŻSZA WBIAŁYMSTOKU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może zawierać: tekst „SZKOŁA WYŻSZA WBIAŁYMSTOKU”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75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F45BA" w:rsidRDefault="000F18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851"/>
      <w:rPr>
        <w:b/>
        <w:i/>
        <w:color w:val="000000"/>
      </w:rPr>
    </w:pPr>
    <w:r>
      <w:rPr>
        <w:b/>
        <w:color w:val="000000"/>
      </w:rPr>
      <w:t xml:space="preserve">Biuro projektu: </w:t>
    </w:r>
    <w:r>
      <w:rPr>
        <w:b/>
        <w:i/>
        <w:color w:val="000000"/>
      </w:rPr>
      <w:t>„WSE Dostępna” POWR.03.05.00-00-A005/20</w:t>
    </w:r>
  </w:p>
  <w:p w:rsidR="001F45BA" w:rsidRDefault="000F18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851"/>
      <w:rPr>
        <w:color w:val="000000"/>
      </w:rPr>
    </w:pPr>
    <w:r>
      <w:rPr>
        <w:color w:val="000000"/>
      </w:rPr>
      <w:t>Wyższa Szkoła Ekonomiczna w Białymstoku</w:t>
    </w:r>
  </w:p>
  <w:p w:rsidR="001F45BA" w:rsidRDefault="000F18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851"/>
      <w:rPr>
        <w:color w:val="000000"/>
      </w:rPr>
    </w:pPr>
    <w:r>
      <w:rPr>
        <w:color w:val="000000"/>
      </w:rPr>
      <w:t>ul. Zwycięstwa 14/3, 15-703 Białystok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10B" w:rsidRDefault="00A9210B">
      <w:r>
        <w:separator/>
      </w:r>
    </w:p>
  </w:footnote>
  <w:footnote w:type="continuationSeparator" w:id="0">
    <w:p w:rsidR="00A9210B" w:rsidRDefault="00A9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BA" w:rsidRDefault="000F18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56910" cy="739775"/>
          <wp:effectExtent l="0" t="0" r="0" b="0"/>
          <wp:docPr id="12" name="image1.jpg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E_POWER_poziom_pl-1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910" cy="739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F45BA" w:rsidRDefault="001F45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0BD"/>
    <w:multiLevelType w:val="multilevel"/>
    <w:tmpl w:val="F1303E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85E769A"/>
    <w:multiLevelType w:val="multilevel"/>
    <w:tmpl w:val="7B500C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BA"/>
    <w:rsid w:val="000F184C"/>
    <w:rsid w:val="001E1424"/>
    <w:rsid w:val="001F45BA"/>
    <w:rsid w:val="00257396"/>
    <w:rsid w:val="005A31CA"/>
    <w:rsid w:val="00842B9A"/>
    <w:rsid w:val="0084536A"/>
    <w:rsid w:val="008B75A5"/>
    <w:rsid w:val="009442F5"/>
    <w:rsid w:val="00987DF2"/>
    <w:rsid w:val="009C2464"/>
    <w:rsid w:val="00A35185"/>
    <w:rsid w:val="00A9210B"/>
    <w:rsid w:val="00B02C42"/>
    <w:rsid w:val="00B5231B"/>
    <w:rsid w:val="00B631B5"/>
    <w:rsid w:val="00D6798E"/>
    <w:rsid w:val="00D81FFF"/>
    <w:rsid w:val="00E06E91"/>
    <w:rsid w:val="00E97311"/>
    <w:rsid w:val="00EE339D"/>
    <w:rsid w:val="00FE5081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60C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rsid w:val="00246F84"/>
    <w:pPr>
      <w:keepNext/>
      <w:keepLines/>
      <w:spacing w:before="160" w:line="276" w:lineRule="auto"/>
      <w:ind w:left="720"/>
      <w:outlineLvl w:val="2"/>
    </w:pPr>
    <w:rPr>
      <w:rFonts w:ascii="Trebuchet MS" w:eastAsia="Trebuchet MS" w:hAnsi="Trebuchet MS" w:cs="Trebuchet MS"/>
      <w:b/>
      <w:color w:val="666666"/>
      <w:sz w:val="24"/>
      <w:szCs w:val="24"/>
      <w:lang w:val="pl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2B260C"/>
    <w:pPr>
      <w:jc w:val="center"/>
    </w:pPr>
    <w:rPr>
      <w:b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12"/>
  </w:style>
  <w:style w:type="paragraph" w:styleId="Stopka">
    <w:name w:val="footer"/>
    <w:basedOn w:val="Normalny"/>
    <w:link w:val="Stopka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12"/>
  </w:style>
  <w:style w:type="paragraph" w:styleId="Tekstdymka">
    <w:name w:val="Balloon Text"/>
    <w:basedOn w:val="Normalny"/>
    <w:link w:val="TekstdymkaZnak"/>
    <w:uiPriority w:val="99"/>
    <w:semiHidden/>
    <w:unhideWhenUsed/>
    <w:rsid w:val="00777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12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2B2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26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B260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6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0C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60C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g-star-inserted">
    <w:name w:val="ng-star-inserted"/>
    <w:basedOn w:val="Normalny"/>
    <w:rsid w:val="0036281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36281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3008"/>
    <w:rPr>
      <w:color w:val="0000FF" w:themeColor="hyperlink"/>
      <w:u w:val="single"/>
    </w:rPr>
  </w:style>
  <w:style w:type="paragraph" w:customStyle="1" w:styleId="Default">
    <w:name w:val="Default"/>
    <w:rsid w:val="001930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193008"/>
    <w:rPr>
      <w:i/>
      <w:iCs/>
    </w:rPr>
  </w:style>
  <w:style w:type="paragraph" w:customStyle="1" w:styleId="Standard">
    <w:name w:val="Standard"/>
    <w:rsid w:val="007C304C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paragraph" w:customStyle="1" w:styleId="text">
    <w:name w:val="text"/>
    <w:basedOn w:val="Normalny"/>
    <w:rsid w:val="007C304C"/>
    <w:pPr>
      <w:spacing w:before="100" w:beforeAutospacing="1" w:after="100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rsid w:val="008D57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81DF9"/>
    <w:rPr>
      <w:rFonts w:ascii="Calibri" w:eastAsia="Calibri" w:hAnsi="Calibri"/>
    </w:rPr>
  </w:style>
  <w:style w:type="paragraph" w:customStyle="1" w:styleId="Textbody">
    <w:name w:val="Text body"/>
    <w:basedOn w:val="Standard"/>
    <w:rsid w:val="00081DF9"/>
    <w:pPr>
      <w:textAlignment w:val="auto"/>
    </w:pPr>
    <w:rPr>
      <w:rFonts w:ascii="Times New Roman" w:eastAsia="Times New Roman" w:hAnsi="Times New Roman"/>
      <w:color w:val="000000"/>
      <w:sz w:val="24"/>
      <w:lang w:eastAsia="zh-CN"/>
    </w:rPr>
  </w:style>
  <w:style w:type="paragraph" w:customStyle="1" w:styleId="Nagwek20">
    <w:name w:val="Nagłówek2"/>
    <w:basedOn w:val="Standard"/>
    <w:rsid w:val="00081DF9"/>
    <w:pPr>
      <w:jc w:val="center"/>
      <w:textAlignment w:val="auto"/>
    </w:pPr>
    <w:rPr>
      <w:rFonts w:ascii="Times New Roman" w:eastAsia="Times New Roman" w:hAnsi="Times New Roman"/>
      <w:b/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246F84"/>
    <w:rPr>
      <w:rFonts w:ascii="Trebuchet MS" w:eastAsia="Trebuchet MS" w:hAnsi="Trebuchet MS" w:cs="Trebuchet MS"/>
      <w:b/>
      <w:color w:val="666666"/>
      <w:sz w:val="24"/>
      <w:szCs w:val="24"/>
      <w:lang w:val="pl" w:eastAsia="pl-PL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60C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rsid w:val="00246F84"/>
    <w:pPr>
      <w:keepNext/>
      <w:keepLines/>
      <w:spacing w:before="160" w:line="276" w:lineRule="auto"/>
      <w:ind w:left="720"/>
      <w:outlineLvl w:val="2"/>
    </w:pPr>
    <w:rPr>
      <w:rFonts w:ascii="Trebuchet MS" w:eastAsia="Trebuchet MS" w:hAnsi="Trebuchet MS" w:cs="Trebuchet MS"/>
      <w:b/>
      <w:color w:val="666666"/>
      <w:sz w:val="24"/>
      <w:szCs w:val="24"/>
      <w:lang w:val="pl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2B260C"/>
    <w:pPr>
      <w:jc w:val="center"/>
    </w:pPr>
    <w:rPr>
      <w:b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12"/>
  </w:style>
  <w:style w:type="paragraph" w:styleId="Stopka">
    <w:name w:val="footer"/>
    <w:basedOn w:val="Normalny"/>
    <w:link w:val="Stopka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12"/>
  </w:style>
  <w:style w:type="paragraph" w:styleId="Tekstdymka">
    <w:name w:val="Balloon Text"/>
    <w:basedOn w:val="Normalny"/>
    <w:link w:val="TekstdymkaZnak"/>
    <w:uiPriority w:val="99"/>
    <w:semiHidden/>
    <w:unhideWhenUsed/>
    <w:rsid w:val="00777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12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2B2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26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B260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6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0C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60C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g-star-inserted">
    <w:name w:val="ng-star-inserted"/>
    <w:basedOn w:val="Normalny"/>
    <w:rsid w:val="0036281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36281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3008"/>
    <w:rPr>
      <w:color w:val="0000FF" w:themeColor="hyperlink"/>
      <w:u w:val="single"/>
    </w:rPr>
  </w:style>
  <w:style w:type="paragraph" w:customStyle="1" w:styleId="Default">
    <w:name w:val="Default"/>
    <w:rsid w:val="001930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193008"/>
    <w:rPr>
      <w:i/>
      <w:iCs/>
    </w:rPr>
  </w:style>
  <w:style w:type="paragraph" w:customStyle="1" w:styleId="Standard">
    <w:name w:val="Standard"/>
    <w:rsid w:val="007C304C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paragraph" w:customStyle="1" w:styleId="text">
    <w:name w:val="text"/>
    <w:basedOn w:val="Normalny"/>
    <w:rsid w:val="007C304C"/>
    <w:pPr>
      <w:spacing w:before="100" w:beforeAutospacing="1" w:after="100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rsid w:val="008D57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81DF9"/>
    <w:rPr>
      <w:rFonts w:ascii="Calibri" w:eastAsia="Calibri" w:hAnsi="Calibri"/>
    </w:rPr>
  </w:style>
  <w:style w:type="paragraph" w:customStyle="1" w:styleId="Textbody">
    <w:name w:val="Text body"/>
    <w:basedOn w:val="Standard"/>
    <w:rsid w:val="00081DF9"/>
    <w:pPr>
      <w:textAlignment w:val="auto"/>
    </w:pPr>
    <w:rPr>
      <w:rFonts w:ascii="Times New Roman" w:eastAsia="Times New Roman" w:hAnsi="Times New Roman"/>
      <w:color w:val="000000"/>
      <w:sz w:val="24"/>
      <w:lang w:eastAsia="zh-CN"/>
    </w:rPr>
  </w:style>
  <w:style w:type="paragraph" w:customStyle="1" w:styleId="Nagwek20">
    <w:name w:val="Nagłówek2"/>
    <w:basedOn w:val="Standard"/>
    <w:rsid w:val="00081DF9"/>
    <w:pPr>
      <w:jc w:val="center"/>
      <w:textAlignment w:val="auto"/>
    </w:pPr>
    <w:rPr>
      <w:rFonts w:ascii="Times New Roman" w:eastAsia="Times New Roman" w:hAnsi="Times New Roman"/>
      <w:b/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246F84"/>
    <w:rPr>
      <w:rFonts w:ascii="Trebuchet MS" w:eastAsia="Trebuchet MS" w:hAnsi="Trebuchet MS" w:cs="Trebuchet MS"/>
      <w:b/>
      <w:color w:val="666666"/>
      <w:sz w:val="24"/>
      <w:szCs w:val="24"/>
      <w:lang w:val="pl" w:eastAsia="pl-PL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pec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ec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OxfCN7Q25rVLczLhkf8w39kvkg==">AMUW2mU5DRbo7TNkaRty6HdGBqLyaj/XEXks0I7sVYjaFK5TMIjPa42dVwPl9BSEg/0omR/DrvXp1J9A/c2mD7dgN4a/GPZYwZk1Wu2E/t62ZuX5AxPpH7tcOUOZpcAxbp/4nn50PHtw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1888</Words>
  <Characters>11334</Characters>
  <Application>Microsoft Office Word</Application>
  <DocSecurity>4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2023-05-31T10:43:00Z</cp:lastPrinted>
  <dcterms:created xsi:type="dcterms:W3CDTF">2023-06-06T12:13:00Z</dcterms:created>
  <dcterms:modified xsi:type="dcterms:W3CDTF">2023-06-06T12:13:00Z</dcterms:modified>
</cp:coreProperties>
</file>