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sz w:val="28"/>
          <w:szCs w:val="28"/>
          <w:u w:val="singl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single"/>
          <w:shd w:fill="auto" w:val="clear"/>
          <w:vertAlign w:val="baseline"/>
          <w:rtl w:val="0"/>
        </w:rPr>
        <w:t xml:space="preserve">Umowa o zachowaniu poufności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zawarta w ……………………… w dniu ………, której Stronami są:</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TADEX Bracia Piłat Spółka Komandytowa z siedzibą w Częstochowie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przy ul. Alei Pokoju 43a, wpisana do Rejestru Przedsiębiorców Krajowego Rejestru Sądowego przez Sąd Rejonowy w Częstochowie, XVII Wydział Gospodarczy Krajowego Rejestru Sądowego pod numerem KRS: 0001009568, NIP: 5732841948, REGON: 242913954,</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zwana dalej jako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„STRONA UJAWNIAJĄCA”,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oraz</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w:t>
        <w:br w:type="textWrapping"/>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zwany dalej jako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„STRONA OTRZYMUJĄCA”.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1.</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STRONA OTRZYMUJĄCA zobowiązuje się do zachowania w tajemnicy uzyskanych od STRONY UJAWNIAJĄCEJ Informacji Poufnych.</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Informacje Poufne oznaczają wszystkie informacje udostępnione STRONIE OTRZYMUJĄCEJ przez STRONĘ UJAWNIAJĄCĄ, które odnoszą się do STRONY UJAWNIAJĄCEJ i jej działalności lub prowadzonych spraw, w tym dotyczące jej kontrahentów, w szczególności informacje techniczne, technologiczne, organizacyjne, finansowe, prawne lub inne informacje posiadające wartość gospodarczą, a także informacje uzyskane w wyniku analizy lub przetworzenia dostarczonych informacji, niezależnie od sposobu ich ujawnienia (w tym w formie pisemnej, ustnie czy na podstawie obserwacji w biurach lub innych pomieszczeniach STRONY UJAWNIAJĄCEJ oraz jej partnerów w tym wszelkich podmiotów współpracujących z STRONĄ UJAWNIAJĄCĄ bez względu na zakres i rodzaj podjętej współpracy, kontrahentów, pracowników, podwykonawców, osób trzecich działających w imieniu STRONY UJAWNIAJĄCEJ, potencjalnych źródeł kapitału, agentów, doradców, prawników i księgowych lub w każdej innej formie bądź w wyniku dyskusji ze STRONĄ UJAWNIAJĄCĄ lub jej przedstawicielami), zarówno przed jak i po dacie zawarcia niniejszej Umowy, jednakże z wyłączeniem:</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informacji powszechnie znanych,</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informacji rozpowszechnionych za pośrednictwem środków masowego przekazu (prasy, radia, telewizji) oraz w sieci Internet,</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informacji powszechnie dostępnych (w publicznych rejestrach takich jak rejestr przedsiębiorców KRS lub wpisy do CEIDG itp.),</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informacji podanych do publicznej wiadomości w inny sposób niż w wyniku naruszenia postanowień niniejszej Umowy. </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 razie wątpliwości w przedmiocie kwalifikacji określonych informacjami na potrzeby wykonywania niniejszej Umowy, przyjmuje się iż są to Informacje Poufne. </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Informacje Poufne będą przekazywane STRONIE OTRZYMUJĄCEJ bez konieczności oznaczania ich przez STRONĘ UJAWNIAJĄCĄ jako Informacje Poufne. Jednakże STRONA UJAWNIAJĄCA w celu stwarzania jak najwyższych standardów bezpieczeństwa w celu wyeliminowania wszelkich wątpliwości związanych z tym co jest objęte poufnością może dodatkowo oznaczać przekazywane informacje ze stosownymi klauzulami (np. „POUFNE”, „ŚCIŚLE POUFNE” itp.). Brak takiej adnotacji w żadnym wypadku nie może być traktowany przez STRONĘ OTRZYMUJĄCĄ jako informacje, które nie są objęte poufnością.</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2.</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STRONA OTRZYMUJĄCA w szczególności zobowiązuje się:</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wykorzystywać Informacje Poufne zgodnie z celem wyznaczonym przez STRONĘ UJAWNIAJĄCĄ,</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nie wykorzystywać Informacji Poufnych dla celów innych niż służących realizacji współpracy ze STRONĄ UJAWNIAJĄCĄ, w tym dla celów własnej działalności, a także nie powielać Informacji Poufnych w żaden sposób, o ile nie będzie to konieczne dla potrzeb realizacji Współpracy,</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nie ujawniać żadnych Informacji Poufnych ani w całości ani w części, żadnej osobie trzeciej. Ujawnienie Informacji Poufnych ograniczone będzie do tych podmiotów, którym wiedza taka będzie niezbędna dla realizacji współpracy, pod warunkiem, że w każdym takim przypadku STRONA OTRZYMUJĄCA zapewni, że postanowienia niniejszej Umowy będą przestrzegane przez te osoby na poziomie, który zagwarantuje bezpieczeństwo co najmniej na takim poziomie jak postanowienia niniejszej Umowy,</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nie wykonywać kopi lub reprodukcji Informacji Poufnych, chyba, że w zakresie zasadnie niezbędnym dla realizacji współpracy, a wszelkie wykonane kopie będą własnością STRONY UJAWNIAJĄCEJ,</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przechowywać wszelkie Informacje Poufne wyrażone w formie materialnej (w tym materiały w formie pisemnej, komputerowe nośniki informacji, filmy oraz nośniki dźwięku) w sposób uniemożliwiający dostęp do nich osobom nieuprawnionym,</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do zwrotu wszelkich Informacji Poufnych utrwalonych w formie materialnej na żądanie STRONY UJAWNIAJĄCEJ w trybie określonym w § 4 niniejszej Umowy,</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podejmować wszelkie niezbędne działania w celu uniemożliwienia osobom trzecim dostępu do Informacji Poufnych, zwłaszcza do dołożenia należytych starań w celu zapewniania, aby środki łączności wykorzystywane przez STRONĘ OTRZYMUJĄCĄ do odbioru oraz przekazywania Informacji Poufnych gwarantowały zabezpieczenie ich przed dostępem osób nieupoważnionych,</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podjąć wszelkie niezbędne kroki dla zapewnienia, że żadna z osób otrzymujących Informacje Poufne nie ujawni tych informacji ani ich źródła osobom trzecim, w tym zwłaszcza poinformować członków swoich władz oraz pracowników, którym ujawnia Informacje Poufne, o obowiązkach wynikających z niniejszej Umowy. STRONA OTRZYMUJĄCA będzie ponosił odpowiedzialność za wszelkie naruszenia obowiązków wynikających z niniejszej Umowy przez powyższe osoby.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3.</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Strony zgodnie oświadczają, iż</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STRONA OTRZYMUJĄCA może ujawnić Informacje Poufne wyłącznie w przypadku uzyskania wcześniejszej pisemnej zgody STRONY UJAWNIAJĄCEJ, wyłącznie w zakresie wskazanym przez STRONĘ UJAWNIAJĄCĄ i na warunkach określonych przez STRONĘ UJAWNIAJĄCĄ.</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4.</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Strony zgodnie oświadczają, iż niezwłocznie na pisemne żądanie STRONY UJAWNIAJĄCEJ, STRONA OTRZYMUJĄCA zwróci lub zniszczy wszystkie kopie Informacji Poufnych i nie zatrzyma żadnych kopi, wyciągów lub innych reprodukcji całości lub części takich materiałów oraz żadnych notatek, studiów, raportów, memorandów, kalkulacji, kosztorysów i innych dokumentów przygotowanych przez STRONĘ OTRZYMUJĄCĄ, które zawierają Informacje Poufne zarówno w wersji papierowej jak i wersji elektronicznej. Niezależnie od zwrotu lub zniszczenia Informacji Poufnych, STRONA OTRZYMUJĄCA będzie nadal związana zobowiązaniem poufności oraz innymi zobowiązaniami wynikającymi z niniejszej Umowy. </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 przypadku żądania zwrotu Informacji Poufnych, STRONA OTRZYMUJĄCA jest zobowiązana do przedstawienia pisemnego oświadczenia o zwrocie wszystkich Informacji Poufnych wymienionych powyżej.</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Strony zgodnie oświadczają, iż w przypadku, gdy STRONA OTRZYMUJĄCA lub ktokolwiek, komu ujawni ona Informacje Poufne otrzyma żądanie ujawnienia całości lub części Informacji Poufnych na podstawie wezwania lub innego orzeczenia wydanego przez sąd odpowiedniej jurysdykcji, lub przez inny rządowy lub administracyjny organ, STRONA OTRZYMUJĄCA niezwłocznie powiadomi STRONĘ UJAWNIAJĄCĄ o istnieniu, warunkach i okolicznościach dotyczących takiego żądania, skonsultuje ze STRONĄ UJAWNIAJĄCĄ zasadność podejmowania kroków w celu zaskarżenia lub ograniczenia takiego żądania, jeżeli ujawnienie takich Informacji Poufnych okaże się konieczne, przedstawi tylko taką część Informacji Poufnych w stosunku do której STRONA OTRZYMUJĄCA otrzyma od STRONY UJAWNIAJĄCEJ potwierdzenie oraz zgodę na ujawnienie Informacji Poufnych.</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6.</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STRONA OTRZYMUJĄCA ponosi pełną odpowiedzialność za należyte przestrzeganie postanowień niniejszej Umowy w tym za podmioty wskazane w § 2 ust. 8.</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 przypadku naruszenia postanowień niniejszej Umowy STRONA OTRZYMUJĄCA będzie zobowiązana do naprawienia wyrządzonej szkody STRONIE UJAWNIAJĄCEJ na zasadach ogólnych.</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7.</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Niniejsza Umowa, ani też przewidziane niniejszą Umową ujawnienie jakichkolwiek Informacji Poufnych, nie stanowi udzielenia licencji w odniesieniu do wynalazków, patentów, praw</w:t>
        <w:br w:type="textWrapping"/>
        <w:t xml:space="preserve">autorskich, znaków towarowych ani innych praw własności przemysłowej.</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 przypadku gdy w związku z realizacją współpracy pomiędzy Stronami, która dotyczyć będzie Informacji Poufnych, wynalezione lub stworzone wszelkie wynalazki, patenty, prawa autorskie, znaki towarowe oraz inne prawa własności przemysłowej przysługiwać będą STRONIE UJAWNIAJĄCEJ. Jednakże Strony nie wykluczają ustalenia odmiennych zasad w przypadku gdy udział STRONY OTRZYMUJĄCEJ w danym przedsięwzięciu będzie znaczny.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8.</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Obowiązek zachowania tajemnicy wiąże STRONĘ OTRZYMUJĄCĄ od chwili podpisania niniejszej Umowy (z zastrzeżeniem § 9) przez cały okres trwania współpracy Stron oraz 3 lata po jej zakończeniu, bez względu na sposób i przyczynę jej zakończenia. </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STRONA UJAWNIAJĄCA może w każdym czasie zwolnić STRONĘ OTRZYMUJĄCĄ od obowiązku zachowania poufności do czego wymagane jest złożenie w formie pisemnej stosownego oświadczenia.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 w:right="0" w:firstLine="0"/>
        <w:jc w:val="center"/>
        <w:rPr>
          <w:rFonts w:ascii="Palatino Linotype" w:cs="Palatino Linotype" w:eastAsia="Palatino Linotype" w:hAnsi="Palatino Linotype"/>
          <w:b w:val="1"/>
          <w:i w:val="1"/>
          <w:smallCaps w:val="0"/>
          <w:strike w:val="0"/>
          <w:color w:val="000000"/>
          <w:sz w:val="22"/>
          <w:szCs w:val="22"/>
          <w:u w:val="singl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9.</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Niniejsza Umowa zastępuje wszelkie dotychczas prowadzone rozmowy oraz negocjacje i zobowiązuje STRONĘ OTRZYMUJĄCĄ do zachowania w poufności również wszelkich Informacji Poufnych otrzymanych przed podpisaniem niniejszej Umowy, na zasadach określonych w niniejszej Umowie, od chwili podpisania niniejszej Umowy.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10.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Wszelkie zmiany niniejszej Umowy wymagają formy pisemnej pod rygorem nieważności.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11.</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 sprawach nieuregulowanych w niniejszej Umowie zastosowanie znajdują odpowiednie przepisy ustawy z dnia 23 kwietnia 1964 r. – Kodeks cywilny, tj. z dnia 16 maja 2019 r. (Dz.U. z 2019 r. poz. 1145) oraz ustawy z dnia 16 kwietnia 1993 r. – o zwalczeniu nieuczciwej konkurencji, tj. z dnia 16 maja 2019 r. (Dz.U. z 2019 r. poz. 1010).</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12.</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Wszelkie spory mogące wyniknąć na tle wykonywania z niniejszej umowy rozstrzygać będzie właściwy rzeczowo i miejscowo Sąd dla strony występującej na drogę sądową.</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13.</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Umowa została sporządzona w dwóch jednobrzmiących egzemplarzach, po jednym dla każdej ze stron.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23.0" w:type="dxa"/>
        <w:jc w:val="left"/>
        <w:tblInd w:w="-123.0" w:type="dxa"/>
        <w:tblLayout w:type="fixed"/>
        <w:tblLook w:val="0000"/>
      </w:tblPr>
      <w:tblGrid>
        <w:gridCol w:w="3074"/>
        <w:gridCol w:w="3074"/>
        <w:gridCol w:w="3075"/>
        <w:tblGridChange w:id="0">
          <w:tblGrid>
            <w:gridCol w:w="3074"/>
            <w:gridCol w:w="3074"/>
            <w:gridCol w:w="3075"/>
          </w:tblGrid>
        </w:tblGridChange>
      </w:tblGrid>
      <w:tr>
        <w:trPr>
          <w:cantSplit w:val="0"/>
          <w:tblHeader w:val="0"/>
        </w:trPr>
        <w:tc>
          <w:tcPr>
            <w:shd w:fill="ffffff" w:val="clear"/>
            <w:tcMar>
              <w:top w:w="0.0" w:type="dxa"/>
              <w:left w:w="123.0" w:type="dxa"/>
              <w:bottom w:w="0.0" w:type="dxa"/>
              <w:right w:w="108.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shd w:fill="ffffff" w:val="clear"/>
            <w:tcMar>
              <w:top w:w="0.0" w:type="dxa"/>
              <w:left w:w="123.0" w:type="dxa"/>
              <w:bottom w:w="0.0" w:type="dxa"/>
              <w:right w:w="108.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Mar>
              <w:top w:w="0.0" w:type="dxa"/>
              <w:left w:w="123.0" w:type="dxa"/>
              <w:bottom w:w="0.0" w:type="dxa"/>
              <w:right w:w="108.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shd w:fill="ffffff" w:val="clear"/>
            <w:tcMar>
              <w:top w:w="0.0" w:type="dxa"/>
              <w:left w:w="123.0" w:type="dxa"/>
              <w:bottom w:w="0.0" w:type="dxa"/>
              <w:right w:w="108.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STRONA UJAWNIAJĄCA</w:t>
            </w:r>
            <w:r w:rsidDel="00000000" w:rsidR="00000000" w:rsidRPr="00000000">
              <w:rPr>
                <w:rtl w:val="0"/>
              </w:rPr>
            </w:r>
          </w:p>
        </w:tc>
        <w:tc>
          <w:tcPr>
            <w:shd w:fill="ffffff" w:val="clear"/>
            <w:tcMar>
              <w:top w:w="0.0" w:type="dxa"/>
              <w:left w:w="123.0" w:type="dxa"/>
              <w:bottom w:w="0.0" w:type="dxa"/>
              <w:right w:w="108.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Mar>
              <w:top w:w="0.0" w:type="dxa"/>
              <w:left w:w="123.0" w:type="dxa"/>
              <w:bottom w:w="0.0" w:type="dxa"/>
              <w:right w:w="108.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STRONA OTRZYMUJĄCA</w:t>
            </w: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center" w:leader="none" w:pos="4536"/>
        <w:tab w:val="right" w:leader="none" w:pos="9072"/>
      </w:tabs>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5733415" cy="517525"/>
          <wp:effectExtent b="0" l="0" r="0" t="0"/>
          <wp:docPr descr="Fundusze Europejskie dla Nowoczesnej Gospodarki; Rzeczpospolita Polska; Dofinansowane przez Unię Ueropejską. PARP, Grupa PFR" id="1" name="image1.jpg"/>
          <a:graphic>
            <a:graphicData uri="http://schemas.openxmlformats.org/drawingml/2006/picture">
              <pic:pic>
                <pic:nvPicPr>
                  <pic:cNvPr descr="Fundusze Europejskie dla Nowoczesnej Gospodarki; Rzeczpospolita Polska; Dofinansowane przez Unię Ueropejską. PARP, Grupa PFR" id="0" name="image1.jpg"/>
                  <pic:cNvPicPr preferRelativeResize="0"/>
                </pic:nvPicPr>
                <pic:blipFill>
                  <a:blip r:embed="rId1"/>
                  <a:srcRect b="0" l="0" r="0" t="0"/>
                  <a:stretch>
                    <a:fillRect/>
                  </a:stretch>
                </pic:blipFill>
                <pic:spPr>
                  <a:xfrm>
                    <a:off x="0" y="0"/>
                    <a:ext cx="5733415" cy="5175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pPr>
      <w:suppressAutoHyphens w:val="1"/>
    </w:p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Normalny"/>
    <w:pPr>
      <w:tabs>
        <w:tab w:val="center" w:pos="4536"/>
        <w:tab w:val="right" w:pos="9072"/>
      </w:tabs>
    </w:pPr>
    <w:rPr>
      <w:rFonts w:cs="Mangal"/>
      <w:szCs w:val="21"/>
    </w:rPr>
  </w:style>
  <w:style w:type="paragraph" w:styleId="Textbody" w:customStyle="1">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paragraph" w:styleId="Akapitzlist">
    <w:name w:val="List Paragraph"/>
    <w:basedOn w:val="Standard"/>
    <w:pPr>
      <w:spacing w:after="200"/>
      <w:ind w:left="720"/>
    </w:pPr>
  </w:style>
  <w:style w:type="paragraph" w:styleId="Stopka">
    <w:name w:val="footer"/>
    <w:basedOn w:val="Normalny"/>
    <w:pPr>
      <w:tabs>
        <w:tab w:val="center" w:pos="4536"/>
        <w:tab w:val="right" w:pos="9072"/>
      </w:tabs>
    </w:pPr>
    <w:rPr>
      <w:rFonts w:cs="Mangal"/>
      <w:szCs w:val="21"/>
    </w:rPr>
  </w:style>
  <w:style w:type="paragraph" w:styleId="TableContents" w:customStyle="1">
    <w:name w:val="Table Contents"/>
    <w:basedOn w:val="Standard"/>
    <w:pPr>
      <w:suppressLineNumbers w:val="1"/>
    </w:pPr>
  </w:style>
  <w:style w:type="character" w:styleId="NagwekZnak" w:customStyle="1">
    <w:name w:val="Nagłówek Znak"/>
    <w:basedOn w:val="Domylnaczcionkaakapitu"/>
    <w:rPr>
      <w:rFonts w:cs="Mangal"/>
      <w:szCs w:val="21"/>
    </w:rPr>
  </w:style>
  <w:style w:type="character" w:styleId="StopkaZnak" w:customStyle="1">
    <w:name w:val="Stopka Znak"/>
    <w:basedOn w:val="Domylnaczcionkaakapitu"/>
    <w:rPr>
      <w:rFonts w:cs="Mangal"/>
      <w:szCs w:val="21"/>
    </w:rPr>
  </w:style>
  <w:style w:type="character" w:styleId="BulletSymbols" w:customStyle="1">
    <w:name w:val="Bullet Symbols"/>
    <w:rPr>
      <w:rFonts w:ascii="OpenSymbol" w:cs="OpenSymbol" w:eastAsia="OpenSymbol" w:hAnsi="OpenSymbol"/>
    </w:rPr>
  </w:style>
  <w:style w:type="character" w:styleId="NumberingSymbols" w:customStyle="1">
    <w:name w:val="Numbering Symbols"/>
  </w:style>
  <w:style w:type="character" w:styleId="StrongEmphasis" w:customStyle="1">
    <w:name w:val="Strong Emphasis"/>
    <w:rPr>
      <w:b w:val="1"/>
      <w:bCs w:val="1"/>
    </w:rPr>
  </w:style>
  <w:style w:type="numbering" w:styleId="WWNum7" w:customStyle="1">
    <w:name w:val="WWNum7"/>
    <w:basedOn w:val="Bezlisty"/>
    <w:pPr>
      <w:numPr>
        <w:numId w:val="1"/>
      </w:numPr>
    </w:pPr>
  </w:style>
  <w:style w:type="paragraph" w:styleId="Default" w:customStyle="1">
    <w:name w:val="Default"/>
    <w:rsid w:val="009F0CD1"/>
    <w:pPr>
      <w:autoSpaceDE w:val="0"/>
      <w:adjustRightInd w:val="0"/>
      <w:textAlignment w:val="auto"/>
    </w:pPr>
    <w:rPr>
      <w:rFonts w:ascii="Times New Roman" w:cs="Times New Roman" w:hAnsi="Times New Roman" w:eastAsiaTheme="minorHAnsi"/>
      <w:color w:val="000000"/>
      <w:kern w:val="0"/>
      <w:lang w:bidi="ar-SA" w:eastAsia="en-US"/>
    </w:rPr>
  </w:style>
  <w:style w:type="paragraph" w:styleId="Tekstdymka">
    <w:name w:val="Balloon Text"/>
    <w:basedOn w:val="Normalny"/>
    <w:link w:val="TekstdymkaZnak"/>
    <w:uiPriority w:val="99"/>
    <w:semiHidden w:val="1"/>
    <w:unhideWhenUsed w:val="1"/>
    <w:rsid w:val="001623D4"/>
    <w:rPr>
      <w:rFonts w:ascii="Segoe UI" w:cs="Mangal" w:hAnsi="Segoe UI"/>
      <w:sz w:val="18"/>
      <w:szCs w:val="16"/>
    </w:rPr>
  </w:style>
  <w:style w:type="character" w:styleId="TekstdymkaZnak" w:customStyle="1">
    <w:name w:val="Tekst dymka Znak"/>
    <w:basedOn w:val="Domylnaczcionkaakapitu"/>
    <w:link w:val="Tekstdymka"/>
    <w:uiPriority w:val="99"/>
    <w:semiHidden w:val="1"/>
    <w:rsid w:val="001623D4"/>
    <w:rPr>
      <w:rFonts w:ascii="Segoe UI" w:cs="Mangal" w:hAnsi="Segoe UI"/>
      <w:sz w:val="18"/>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uJsjYkpUT1cuQigkZKeGll7lag==">AMUW2mWbq/RfwtyZmFHMtk8D28BQHs+ZGuYCsvQcs4aSnzvkE459W+tB/2FFq28HJtPQXOfW86LpZMbPe4Cyyd+Vm9rkndnH0w04gj5NUdbxk5bR77CwkMA=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2023-03-22T10:23:00Z</dcterms:created>
  <dc:creator>Marek</dc:creator>
</cp:coreProperties>
</file>