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DB" w:rsidRPr="001C3119" w:rsidRDefault="008760DB" w:rsidP="008760DB">
      <w:pPr>
        <w:suppressAutoHyphens w:val="0"/>
        <w:rPr>
          <w:rFonts w:ascii="Arial" w:hAnsi="Arial" w:cs="Arial"/>
          <w:sz w:val="22"/>
          <w:szCs w:val="22"/>
          <w:lang w:eastAsia="pl-PL"/>
        </w:rPr>
      </w:pPr>
    </w:p>
    <w:p w:rsidR="001C3119" w:rsidRDefault="001C3119" w:rsidP="008760DB">
      <w:pPr>
        <w:suppressAutoHyphens w:val="0"/>
        <w:rPr>
          <w:rFonts w:ascii="Arial" w:hAnsi="Arial" w:cs="Arial"/>
          <w:sz w:val="22"/>
          <w:szCs w:val="22"/>
          <w:lang w:eastAsia="pl-PL"/>
        </w:rPr>
      </w:pPr>
      <w:r>
        <w:rPr>
          <w:rFonts w:ascii="Arial" w:hAnsi="Arial" w:cs="Arial"/>
          <w:sz w:val="22"/>
          <w:szCs w:val="22"/>
          <w:lang w:eastAsia="pl-PL"/>
        </w:rPr>
        <w:t xml:space="preserve">                                                                                                                             </w:t>
      </w:r>
      <w:r w:rsidR="008760DB" w:rsidRPr="001C3119">
        <w:rPr>
          <w:rFonts w:ascii="Arial" w:hAnsi="Arial" w:cs="Arial"/>
          <w:sz w:val="22"/>
          <w:szCs w:val="22"/>
          <w:lang w:eastAsia="pl-PL"/>
        </w:rPr>
        <w:t>Załącznik Nr 1</w:t>
      </w:r>
      <w:r w:rsidR="008760DB" w:rsidRPr="001C3119">
        <w:rPr>
          <w:rFonts w:ascii="Arial" w:hAnsi="Arial" w:cs="Arial"/>
          <w:sz w:val="22"/>
          <w:szCs w:val="22"/>
          <w:lang w:eastAsia="pl-PL"/>
        </w:rPr>
        <w:br/>
      </w:r>
      <w:r w:rsidRPr="002D5B74">
        <w:rPr>
          <w:rFonts w:ascii="Arial" w:hAnsi="Arial" w:cs="Arial"/>
          <w:b/>
          <w:sz w:val="24"/>
          <w:lang w:eastAsia="pl-PL"/>
        </w:rPr>
        <w:t>Gmina Żarnowiec</w:t>
      </w:r>
    </w:p>
    <w:p w:rsidR="001C3119" w:rsidRDefault="001C3119" w:rsidP="008760DB">
      <w:pPr>
        <w:suppressAutoHyphens w:val="0"/>
        <w:rPr>
          <w:rFonts w:ascii="Arial" w:hAnsi="Arial" w:cs="Arial"/>
          <w:sz w:val="22"/>
          <w:szCs w:val="22"/>
          <w:lang w:eastAsia="pl-PL"/>
        </w:rPr>
      </w:pPr>
    </w:p>
    <w:p w:rsidR="00F20A28" w:rsidRDefault="008760DB" w:rsidP="0064364B">
      <w:pPr>
        <w:jc w:val="center"/>
        <w:rPr>
          <w:rFonts w:ascii="Arial" w:hAnsi="Arial" w:cs="Arial"/>
          <w:b/>
          <w:sz w:val="22"/>
          <w:szCs w:val="22"/>
          <w:lang w:eastAsia="pl-PL"/>
        </w:rPr>
      </w:pPr>
      <w:r w:rsidRPr="001C3119">
        <w:rPr>
          <w:rFonts w:ascii="Arial" w:hAnsi="Arial" w:cs="Arial"/>
          <w:sz w:val="22"/>
          <w:szCs w:val="22"/>
          <w:lang w:eastAsia="pl-PL"/>
        </w:rPr>
        <w:br/>
      </w:r>
      <w:r w:rsidRPr="002D5B74">
        <w:rPr>
          <w:rFonts w:ascii="Arial" w:hAnsi="Arial" w:cs="Arial"/>
          <w:b/>
          <w:sz w:val="22"/>
          <w:szCs w:val="22"/>
          <w:lang w:eastAsia="pl-PL"/>
        </w:rPr>
        <w:t>SZCZEGÓŁOWY OPIS PRZEDMIOTU</w:t>
      </w:r>
      <w:r w:rsidR="00703B53">
        <w:rPr>
          <w:rFonts w:ascii="Arial" w:hAnsi="Arial" w:cs="Arial"/>
          <w:b/>
          <w:sz w:val="22"/>
          <w:szCs w:val="22"/>
          <w:lang w:eastAsia="pl-PL"/>
        </w:rPr>
        <w:t xml:space="preserve"> ZAMÓWIENIA </w:t>
      </w:r>
    </w:p>
    <w:p w:rsidR="0064364B" w:rsidRPr="00F20A28" w:rsidRDefault="00F20A28" w:rsidP="0064364B">
      <w:pPr>
        <w:jc w:val="center"/>
        <w:rPr>
          <w:rFonts w:ascii="Arial" w:hAnsi="Arial" w:cs="Arial"/>
          <w:b/>
          <w:sz w:val="22"/>
          <w:szCs w:val="22"/>
          <w:lang w:eastAsia="pl-PL"/>
        </w:rPr>
      </w:pPr>
      <w:r>
        <w:rPr>
          <w:rFonts w:ascii="Arial" w:hAnsi="Arial" w:cs="Arial"/>
          <w:b/>
          <w:sz w:val="22"/>
          <w:szCs w:val="22"/>
        </w:rPr>
        <w:t>I</w:t>
      </w:r>
      <w:r w:rsidRPr="00F20A28">
        <w:rPr>
          <w:rFonts w:ascii="Arial" w:hAnsi="Arial" w:cs="Arial"/>
          <w:b/>
          <w:sz w:val="22"/>
          <w:szCs w:val="22"/>
        </w:rPr>
        <w:t xml:space="preserve">ntegracja Systemu Elektronicznego Zarządzania Dokumentacją </w:t>
      </w:r>
      <w:r>
        <w:rPr>
          <w:rFonts w:ascii="Arial" w:hAnsi="Arial" w:cs="Arial"/>
          <w:b/>
          <w:sz w:val="22"/>
          <w:szCs w:val="22"/>
        </w:rPr>
        <w:t xml:space="preserve"> z systemem               e-</w:t>
      </w:r>
      <w:r w:rsidRPr="00F20A28">
        <w:rPr>
          <w:rFonts w:ascii="Arial" w:hAnsi="Arial" w:cs="Arial"/>
          <w:b/>
          <w:sz w:val="22"/>
          <w:szCs w:val="22"/>
        </w:rPr>
        <w:t>Nadawcą Poczty Polskiej oraz platformą eFaktura.gov.pl</w:t>
      </w:r>
    </w:p>
    <w:p w:rsidR="002D5B74" w:rsidRPr="002D5B74" w:rsidRDefault="002D5B74" w:rsidP="002D5B74">
      <w:pPr>
        <w:suppressAutoHyphens w:val="0"/>
        <w:jc w:val="center"/>
        <w:rPr>
          <w:rFonts w:ascii="Arial" w:hAnsi="Arial" w:cs="Arial"/>
          <w:b/>
          <w:sz w:val="20"/>
          <w:szCs w:val="20"/>
          <w:lang w:eastAsia="pl-PL"/>
        </w:rPr>
      </w:pPr>
      <w:r w:rsidRPr="00F20A28">
        <w:rPr>
          <w:rFonts w:ascii="Arial" w:hAnsi="Arial" w:cs="Arial"/>
          <w:b/>
          <w:sz w:val="22"/>
          <w:szCs w:val="22"/>
          <w:lang w:eastAsia="pl-PL"/>
        </w:rPr>
        <w:br/>
      </w:r>
      <w:r w:rsidR="008760DB" w:rsidRPr="002D5B74">
        <w:rPr>
          <w:rFonts w:ascii="Arial" w:hAnsi="Arial" w:cs="Arial"/>
          <w:b/>
          <w:sz w:val="20"/>
          <w:szCs w:val="20"/>
          <w:lang w:eastAsia="pl-PL"/>
        </w:rPr>
        <w:t>realizowanego w ramach Programu Operacyjnego Polska Cyfrowa na lata 2014-2020</w:t>
      </w:r>
      <w:r w:rsidR="008760DB" w:rsidRPr="002D5B74">
        <w:rPr>
          <w:rFonts w:ascii="Arial" w:hAnsi="Arial" w:cs="Arial"/>
          <w:b/>
          <w:sz w:val="20"/>
          <w:szCs w:val="20"/>
          <w:lang w:eastAsia="pl-PL"/>
        </w:rPr>
        <w:br/>
        <w:t>Osi Priorytetowej V Rozwój cyfrowy JST oraz wzmocnienie cyfrowej od</w:t>
      </w:r>
      <w:r>
        <w:rPr>
          <w:rFonts w:ascii="Arial" w:hAnsi="Arial" w:cs="Arial"/>
          <w:b/>
          <w:sz w:val="20"/>
          <w:szCs w:val="20"/>
          <w:lang w:eastAsia="pl-PL"/>
        </w:rPr>
        <w:t xml:space="preserve">porności na zagrożenia REACT-EU </w:t>
      </w:r>
      <w:r w:rsidR="008760DB" w:rsidRPr="002D5B74">
        <w:rPr>
          <w:rFonts w:ascii="Arial" w:hAnsi="Arial" w:cs="Arial"/>
          <w:b/>
          <w:sz w:val="20"/>
          <w:szCs w:val="20"/>
          <w:lang w:eastAsia="pl-PL"/>
        </w:rPr>
        <w:t>działania 5.1 Rozwój cyfrowy JST oraz wzmocnienie cy</w:t>
      </w:r>
      <w:r>
        <w:rPr>
          <w:rFonts w:ascii="Arial" w:hAnsi="Arial" w:cs="Arial"/>
          <w:b/>
          <w:sz w:val="20"/>
          <w:szCs w:val="20"/>
          <w:lang w:eastAsia="pl-PL"/>
        </w:rPr>
        <w:t xml:space="preserve">frowej odporności na zagrożenia </w:t>
      </w:r>
      <w:r w:rsidR="008760DB" w:rsidRPr="002D5B74">
        <w:rPr>
          <w:rFonts w:ascii="Arial" w:hAnsi="Arial" w:cs="Arial"/>
          <w:b/>
          <w:sz w:val="20"/>
          <w:szCs w:val="20"/>
          <w:lang w:eastAsia="pl-PL"/>
        </w:rPr>
        <w:t>dotycząca realizacji projektu grantowego „Cyfrowa Gmina” o numerze POPC.05.01.00-00-0001/21-00</w:t>
      </w:r>
    </w:p>
    <w:p w:rsidR="002D5B74" w:rsidRPr="002D5B74" w:rsidRDefault="002D5B74" w:rsidP="002D5B74">
      <w:pPr>
        <w:suppressAutoHyphens w:val="0"/>
        <w:jc w:val="center"/>
        <w:rPr>
          <w:rFonts w:ascii="Arial" w:hAnsi="Arial" w:cs="Arial"/>
          <w:b/>
          <w:sz w:val="22"/>
          <w:szCs w:val="22"/>
          <w:lang w:eastAsia="pl-PL"/>
        </w:rPr>
      </w:pPr>
    </w:p>
    <w:p w:rsidR="00C0242C" w:rsidRPr="00703B53" w:rsidRDefault="00C0242C" w:rsidP="00C0242C">
      <w:pPr>
        <w:suppressAutoHyphens w:val="0"/>
        <w:jc w:val="both"/>
        <w:rPr>
          <w:rFonts w:ascii="Arial" w:hAnsi="Arial" w:cs="Arial"/>
          <w:sz w:val="24"/>
          <w:lang w:eastAsia="pl-PL"/>
        </w:rPr>
      </w:pPr>
    </w:p>
    <w:p w:rsidR="00703B53" w:rsidRPr="00703B53" w:rsidRDefault="00703B53" w:rsidP="00703B53">
      <w:pPr>
        <w:jc w:val="both"/>
        <w:rPr>
          <w:rFonts w:ascii="Arial" w:hAnsi="Arial" w:cs="Arial"/>
          <w:sz w:val="24"/>
        </w:rPr>
      </w:pPr>
      <w:r w:rsidRPr="006C1ECA">
        <w:rPr>
          <w:rFonts w:ascii="Arial" w:hAnsi="Arial" w:cs="Arial"/>
          <w:b/>
          <w:sz w:val="24"/>
          <w:u w:val="single"/>
        </w:rPr>
        <w:t>Przedmiot zamówienia obejmuje</w:t>
      </w:r>
      <w:r w:rsidRPr="00703B53">
        <w:rPr>
          <w:rFonts w:ascii="Arial" w:hAnsi="Arial" w:cs="Arial"/>
          <w:sz w:val="24"/>
        </w:rPr>
        <w:t>:</w:t>
      </w:r>
    </w:p>
    <w:p w:rsidR="00703B53" w:rsidRPr="00703B53" w:rsidRDefault="00703B53" w:rsidP="00703B53">
      <w:pPr>
        <w:spacing w:line="276" w:lineRule="auto"/>
        <w:jc w:val="both"/>
        <w:rPr>
          <w:rFonts w:ascii="Arial" w:hAnsi="Arial" w:cs="Arial"/>
          <w:sz w:val="24"/>
        </w:rPr>
      </w:pPr>
      <w:r w:rsidRPr="00703B53">
        <w:rPr>
          <w:rFonts w:ascii="Arial" w:hAnsi="Arial" w:cs="Arial"/>
          <w:sz w:val="24"/>
        </w:rPr>
        <w:t>Rozbudowę i modernizację użytkowanego Systemu Elektronicznego Zarządzania Dokumentacją w celu realizacji zadań wynikających z instrukcji kancelaryjnej obejmującą integrację z e-Nadawcą Poczty Polskiej oraz platformą eFaktura.gov.pl wraz z wdrożeniem i instruktażem dla Użytkowników</w:t>
      </w:r>
    </w:p>
    <w:p w:rsidR="00703B53" w:rsidRPr="00703B53" w:rsidRDefault="00703B53" w:rsidP="00703B53">
      <w:pPr>
        <w:pStyle w:val="Akapitzlist"/>
        <w:ind w:left="360"/>
        <w:jc w:val="both"/>
        <w:rPr>
          <w:rFonts w:ascii="Arial" w:hAnsi="Arial" w:cs="Arial"/>
          <w:sz w:val="24"/>
          <w:szCs w:val="24"/>
        </w:rPr>
      </w:pPr>
    </w:p>
    <w:p w:rsidR="00703B53" w:rsidRPr="00703B53" w:rsidRDefault="00703B53" w:rsidP="00703B53">
      <w:pPr>
        <w:jc w:val="both"/>
        <w:rPr>
          <w:rFonts w:ascii="Arial" w:hAnsi="Arial" w:cs="Arial"/>
          <w:sz w:val="24"/>
        </w:rPr>
      </w:pPr>
      <w:bookmarkStart w:id="0" w:name="_Hlk80011005"/>
    </w:p>
    <w:p w:rsidR="00703B53" w:rsidRPr="00703B53" w:rsidRDefault="00703B53" w:rsidP="00703B53">
      <w:pPr>
        <w:pStyle w:val="Nagwek2"/>
        <w:keepLines/>
        <w:numPr>
          <w:ilvl w:val="0"/>
          <w:numId w:val="12"/>
        </w:numPr>
        <w:suppressAutoHyphens w:val="0"/>
        <w:spacing w:before="0" w:after="0" w:line="276" w:lineRule="auto"/>
        <w:rPr>
          <w:sz w:val="24"/>
          <w:szCs w:val="24"/>
        </w:rPr>
      </w:pPr>
      <w:bookmarkStart w:id="1" w:name="_Toc99452468"/>
      <w:r w:rsidRPr="00703B53">
        <w:rPr>
          <w:sz w:val="24"/>
          <w:szCs w:val="24"/>
        </w:rPr>
        <w:t>Termin Wykonania Zamówienia</w:t>
      </w:r>
      <w:bookmarkEnd w:id="1"/>
      <w:r w:rsidRPr="00703B53">
        <w:rPr>
          <w:sz w:val="24"/>
          <w:szCs w:val="24"/>
        </w:rPr>
        <w:t xml:space="preserve"> </w:t>
      </w:r>
    </w:p>
    <w:p w:rsidR="00703B53" w:rsidRPr="00703B53" w:rsidRDefault="00703B53" w:rsidP="00703B53">
      <w:pPr>
        <w:ind w:right="74"/>
        <w:jc w:val="both"/>
        <w:rPr>
          <w:rFonts w:ascii="Arial" w:hAnsi="Arial" w:cs="Arial"/>
          <w:sz w:val="24"/>
        </w:rPr>
      </w:pPr>
    </w:p>
    <w:p w:rsidR="00703B53" w:rsidRPr="00703B53" w:rsidRDefault="00703B53" w:rsidP="00703B53">
      <w:pPr>
        <w:ind w:right="74"/>
        <w:jc w:val="both"/>
        <w:rPr>
          <w:rFonts w:ascii="Arial" w:hAnsi="Arial" w:cs="Arial"/>
          <w:sz w:val="24"/>
        </w:rPr>
      </w:pPr>
      <w:r w:rsidRPr="00703B53">
        <w:rPr>
          <w:rFonts w:ascii="Arial" w:hAnsi="Arial" w:cs="Arial"/>
          <w:sz w:val="24"/>
        </w:rPr>
        <w:t xml:space="preserve">Wymagany termin wykonania Zamówienia:  </w:t>
      </w:r>
      <w:r w:rsidRPr="00703B53">
        <w:rPr>
          <w:rFonts w:ascii="Arial" w:hAnsi="Arial" w:cs="Arial"/>
          <w:b/>
          <w:bCs/>
          <w:sz w:val="24"/>
        </w:rPr>
        <w:t>90 dni kalendarzowych</w:t>
      </w:r>
      <w:r w:rsidRPr="00703B53">
        <w:rPr>
          <w:rFonts w:ascii="Arial" w:hAnsi="Arial" w:cs="Arial"/>
          <w:sz w:val="24"/>
        </w:rPr>
        <w:t xml:space="preserve"> od dnia podpisania umowy</w:t>
      </w:r>
    </w:p>
    <w:p w:rsidR="00703B53" w:rsidRPr="00703B53" w:rsidRDefault="00703B53" w:rsidP="00703B53">
      <w:pPr>
        <w:jc w:val="both"/>
        <w:rPr>
          <w:rFonts w:ascii="Arial" w:hAnsi="Arial" w:cs="Arial"/>
          <w:sz w:val="24"/>
        </w:rPr>
      </w:pPr>
    </w:p>
    <w:p w:rsidR="00703B53" w:rsidRPr="00703B53" w:rsidRDefault="00703B53" w:rsidP="00703B53">
      <w:pPr>
        <w:jc w:val="both"/>
        <w:rPr>
          <w:rFonts w:ascii="Arial" w:hAnsi="Arial" w:cs="Arial"/>
          <w:sz w:val="24"/>
        </w:rPr>
      </w:pPr>
      <w:r w:rsidRPr="00703B53">
        <w:rPr>
          <w:rFonts w:ascii="Arial" w:hAnsi="Arial" w:cs="Arial"/>
          <w:sz w:val="24"/>
        </w:rPr>
        <w:t xml:space="preserve">Przedmiot umowy będzie realizowany zgodnie z zatwierdzonym przez Zamawiającego Harmonogramem rzeczowo-finansowym. Wykonawca zobowiązany jest przedłożyć Zamawiającemu do zatwierdzenia Harmonogram rzeczowo-finansowy w terminie 10 dni od dnia podpisania umowy. </w:t>
      </w:r>
    </w:p>
    <w:bookmarkEnd w:id="0"/>
    <w:p w:rsidR="00703B53" w:rsidRPr="00703B53" w:rsidRDefault="00703B53" w:rsidP="00703B53">
      <w:pPr>
        <w:jc w:val="both"/>
        <w:rPr>
          <w:rFonts w:ascii="Arial" w:hAnsi="Arial" w:cs="Arial"/>
          <w:sz w:val="24"/>
        </w:rPr>
      </w:pPr>
    </w:p>
    <w:p w:rsidR="00703B53" w:rsidRPr="00703B53" w:rsidRDefault="00703B53" w:rsidP="00703B53">
      <w:pPr>
        <w:pStyle w:val="Nagwek2"/>
        <w:keepLines/>
        <w:numPr>
          <w:ilvl w:val="0"/>
          <w:numId w:val="12"/>
        </w:numPr>
        <w:suppressAutoHyphens w:val="0"/>
        <w:spacing w:before="0" w:after="0" w:line="276" w:lineRule="auto"/>
        <w:ind w:left="0" w:firstLine="0"/>
        <w:rPr>
          <w:sz w:val="24"/>
          <w:szCs w:val="24"/>
        </w:rPr>
      </w:pPr>
      <w:bookmarkStart w:id="2" w:name="_Toc99452469"/>
      <w:r w:rsidRPr="00703B53">
        <w:rPr>
          <w:sz w:val="24"/>
          <w:szCs w:val="24"/>
        </w:rPr>
        <w:t>Ogólne informacje dotyczące zamówienia</w:t>
      </w:r>
      <w:bookmarkEnd w:id="2"/>
    </w:p>
    <w:p w:rsidR="00703B53" w:rsidRPr="00703B53" w:rsidRDefault="00703B53" w:rsidP="00703B53">
      <w:pPr>
        <w:widowControl w:val="0"/>
        <w:pBdr>
          <w:top w:val="nil"/>
          <w:left w:val="nil"/>
          <w:bottom w:val="nil"/>
          <w:right w:val="nil"/>
          <w:between w:val="nil"/>
        </w:pBdr>
        <w:rPr>
          <w:rFonts w:ascii="Arial" w:hAnsi="Arial" w:cs="Arial"/>
          <w:color w:val="000000"/>
          <w:sz w:val="24"/>
        </w:rPr>
      </w:pPr>
    </w:p>
    <w:p w:rsidR="00703B53" w:rsidRPr="00703B53" w:rsidRDefault="00703B53" w:rsidP="00703B53">
      <w:pPr>
        <w:pStyle w:val="Akapitzlist"/>
        <w:widowControl w:val="0"/>
        <w:numPr>
          <w:ilvl w:val="3"/>
          <w:numId w:val="11"/>
        </w:numPr>
        <w:pBdr>
          <w:top w:val="nil"/>
          <w:left w:val="nil"/>
          <w:bottom w:val="nil"/>
          <w:right w:val="nil"/>
          <w:between w:val="nil"/>
        </w:pBdr>
        <w:autoSpaceDE w:val="0"/>
        <w:autoSpaceDN w:val="0"/>
        <w:adjustRightInd w:val="0"/>
        <w:spacing w:after="0" w:line="240" w:lineRule="auto"/>
        <w:ind w:left="357" w:right="45" w:hanging="357"/>
        <w:jc w:val="both"/>
        <w:rPr>
          <w:rFonts w:ascii="Arial" w:hAnsi="Arial" w:cs="Arial"/>
          <w:sz w:val="24"/>
          <w:szCs w:val="24"/>
        </w:rPr>
      </w:pPr>
      <w:r w:rsidRPr="00703B53">
        <w:rPr>
          <w:rFonts w:ascii="Arial" w:hAnsi="Arial" w:cs="Arial"/>
          <w:color w:val="000000"/>
          <w:sz w:val="24"/>
          <w:szCs w:val="24"/>
        </w:rPr>
        <w:t xml:space="preserve">Dostarczane Oprogramowanie musi w całości posiadać polskojęzyczny interfejs i instrukcję obsługi w języku polskim. </w:t>
      </w:r>
    </w:p>
    <w:p w:rsidR="00703B53" w:rsidRPr="00703B53" w:rsidRDefault="00703B53" w:rsidP="00703B53">
      <w:pPr>
        <w:pStyle w:val="Akapitzlist"/>
        <w:widowControl w:val="0"/>
        <w:numPr>
          <w:ilvl w:val="3"/>
          <w:numId w:val="11"/>
        </w:numPr>
        <w:pBdr>
          <w:top w:val="nil"/>
          <w:left w:val="nil"/>
          <w:bottom w:val="nil"/>
          <w:right w:val="nil"/>
          <w:between w:val="nil"/>
        </w:pBdr>
        <w:autoSpaceDE w:val="0"/>
        <w:autoSpaceDN w:val="0"/>
        <w:adjustRightInd w:val="0"/>
        <w:spacing w:after="0" w:line="240" w:lineRule="auto"/>
        <w:ind w:left="357" w:right="45" w:hanging="357"/>
        <w:jc w:val="both"/>
        <w:rPr>
          <w:rFonts w:ascii="Arial" w:hAnsi="Arial" w:cs="Arial"/>
          <w:sz w:val="24"/>
          <w:szCs w:val="24"/>
        </w:rPr>
      </w:pPr>
      <w:r w:rsidRPr="00703B53">
        <w:rPr>
          <w:rFonts w:ascii="Arial" w:hAnsi="Arial" w:cs="Arial"/>
          <w:color w:val="000000"/>
          <w:sz w:val="24"/>
          <w:szCs w:val="24"/>
        </w:rPr>
        <w:t xml:space="preserve">Dostarczane Oprogramowanie musi przechowywać wszystkie dane w postaci bazy danych. </w:t>
      </w:r>
    </w:p>
    <w:p w:rsidR="00703B53" w:rsidRPr="00703B53" w:rsidRDefault="00703B53" w:rsidP="00703B53">
      <w:pPr>
        <w:pStyle w:val="Akapitzlist"/>
        <w:widowControl w:val="0"/>
        <w:numPr>
          <w:ilvl w:val="3"/>
          <w:numId w:val="11"/>
        </w:numPr>
        <w:pBdr>
          <w:top w:val="nil"/>
          <w:left w:val="nil"/>
          <w:bottom w:val="nil"/>
          <w:right w:val="nil"/>
          <w:between w:val="nil"/>
        </w:pBdr>
        <w:autoSpaceDE w:val="0"/>
        <w:autoSpaceDN w:val="0"/>
        <w:adjustRightInd w:val="0"/>
        <w:spacing w:after="0" w:line="240" w:lineRule="auto"/>
        <w:ind w:left="357" w:right="45" w:hanging="357"/>
        <w:jc w:val="both"/>
        <w:rPr>
          <w:rFonts w:ascii="Arial" w:hAnsi="Arial" w:cs="Arial"/>
          <w:sz w:val="24"/>
          <w:szCs w:val="24"/>
        </w:rPr>
      </w:pPr>
      <w:r w:rsidRPr="00703B53">
        <w:rPr>
          <w:rFonts w:ascii="Arial" w:hAnsi="Arial" w:cs="Arial"/>
          <w:color w:val="000000"/>
          <w:sz w:val="24"/>
          <w:szCs w:val="24"/>
        </w:rPr>
        <w:t xml:space="preserve">Dostarczane Oprogramowanie musi umożliwiać pracę na bazie typu Open Source. </w:t>
      </w:r>
    </w:p>
    <w:p w:rsidR="00703B53" w:rsidRPr="00703B53" w:rsidRDefault="00703B53" w:rsidP="00703B53">
      <w:pPr>
        <w:pStyle w:val="Akapitzlist"/>
        <w:widowControl w:val="0"/>
        <w:numPr>
          <w:ilvl w:val="3"/>
          <w:numId w:val="11"/>
        </w:numPr>
        <w:pBdr>
          <w:top w:val="nil"/>
          <w:left w:val="nil"/>
          <w:bottom w:val="nil"/>
          <w:right w:val="nil"/>
          <w:between w:val="nil"/>
        </w:pBdr>
        <w:autoSpaceDE w:val="0"/>
        <w:autoSpaceDN w:val="0"/>
        <w:adjustRightInd w:val="0"/>
        <w:spacing w:after="0" w:line="240" w:lineRule="auto"/>
        <w:ind w:left="357" w:right="45" w:hanging="357"/>
        <w:jc w:val="both"/>
        <w:rPr>
          <w:rFonts w:ascii="Arial" w:hAnsi="Arial" w:cs="Arial"/>
          <w:sz w:val="24"/>
          <w:szCs w:val="24"/>
        </w:rPr>
      </w:pPr>
      <w:r w:rsidRPr="00703B53">
        <w:rPr>
          <w:rFonts w:ascii="Arial" w:hAnsi="Arial" w:cs="Arial"/>
          <w:color w:val="000000"/>
          <w:sz w:val="24"/>
          <w:szCs w:val="24"/>
        </w:rPr>
        <w:t xml:space="preserve">Dostarczone Oprogramowanie musi uniemożliwiać próbę jednoczesnej modyfikacji tych samych danych przez różnych użytkowników. System musi blokować operacje użytkownika, który chce wykonać działanie na danych będących już w trakcie modyfikacji. </w:t>
      </w:r>
    </w:p>
    <w:p w:rsidR="00703B53" w:rsidRPr="00703B53" w:rsidRDefault="00703B53" w:rsidP="00703B53">
      <w:pPr>
        <w:pStyle w:val="Akapitzlist"/>
        <w:widowControl w:val="0"/>
        <w:numPr>
          <w:ilvl w:val="3"/>
          <w:numId w:val="11"/>
        </w:numPr>
        <w:pBdr>
          <w:top w:val="nil"/>
          <w:left w:val="nil"/>
          <w:bottom w:val="nil"/>
          <w:right w:val="nil"/>
          <w:between w:val="nil"/>
        </w:pBdr>
        <w:autoSpaceDE w:val="0"/>
        <w:autoSpaceDN w:val="0"/>
        <w:adjustRightInd w:val="0"/>
        <w:spacing w:after="0" w:line="240" w:lineRule="auto"/>
        <w:ind w:left="357" w:right="45" w:hanging="357"/>
        <w:jc w:val="both"/>
        <w:rPr>
          <w:rFonts w:ascii="Arial" w:hAnsi="Arial" w:cs="Arial"/>
          <w:sz w:val="24"/>
          <w:szCs w:val="24"/>
        </w:rPr>
      </w:pPr>
      <w:r w:rsidRPr="00703B53">
        <w:rPr>
          <w:rFonts w:ascii="Arial" w:hAnsi="Arial" w:cs="Arial"/>
          <w:color w:val="000000"/>
          <w:sz w:val="24"/>
          <w:szCs w:val="24"/>
        </w:rPr>
        <w:t xml:space="preserve">Dostarczane Oprogramowanie musi cechować się przyjaznym interfejsem użytkownika wykorzystującym: menu, moduły, listy, formularze, przyciski, </w:t>
      </w:r>
      <w:r w:rsidRPr="00703B53">
        <w:rPr>
          <w:rFonts w:ascii="Arial" w:hAnsi="Arial" w:cs="Arial"/>
          <w:color w:val="000000"/>
          <w:sz w:val="24"/>
          <w:szCs w:val="24"/>
        </w:rPr>
        <w:lastRenderedPageBreak/>
        <w:t xml:space="preserve">referencje (linki) itp. </w:t>
      </w:r>
    </w:p>
    <w:p w:rsidR="00703B53" w:rsidRPr="00703B53" w:rsidRDefault="00703B53" w:rsidP="00703B53">
      <w:pPr>
        <w:pStyle w:val="Akapitzlist"/>
        <w:widowControl w:val="0"/>
        <w:numPr>
          <w:ilvl w:val="3"/>
          <w:numId w:val="11"/>
        </w:numPr>
        <w:pBdr>
          <w:top w:val="nil"/>
          <w:left w:val="nil"/>
          <w:bottom w:val="nil"/>
          <w:right w:val="nil"/>
          <w:between w:val="nil"/>
        </w:pBdr>
        <w:autoSpaceDE w:val="0"/>
        <w:autoSpaceDN w:val="0"/>
        <w:adjustRightInd w:val="0"/>
        <w:spacing w:after="0" w:line="240" w:lineRule="auto"/>
        <w:ind w:left="357" w:right="45" w:hanging="357"/>
        <w:jc w:val="both"/>
        <w:rPr>
          <w:rFonts w:ascii="Arial" w:hAnsi="Arial" w:cs="Arial"/>
          <w:sz w:val="24"/>
          <w:szCs w:val="24"/>
        </w:rPr>
      </w:pPr>
      <w:r w:rsidRPr="00703B53">
        <w:rPr>
          <w:rFonts w:ascii="Arial" w:hAnsi="Arial" w:cs="Arial"/>
          <w:color w:val="000000"/>
          <w:sz w:val="24"/>
          <w:szCs w:val="24"/>
        </w:rPr>
        <w:t xml:space="preserve">Dostarczone Oprogramowanie musi: </w:t>
      </w:r>
    </w:p>
    <w:p w:rsidR="00703B53" w:rsidRPr="00703B53" w:rsidRDefault="00703B53" w:rsidP="00703B53">
      <w:pPr>
        <w:pStyle w:val="Akapitzlist"/>
        <w:widowControl w:val="0"/>
        <w:numPr>
          <w:ilvl w:val="0"/>
          <w:numId w:val="13"/>
        </w:numPr>
        <w:pBdr>
          <w:top w:val="nil"/>
          <w:left w:val="nil"/>
          <w:bottom w:val="nil"/>
          <w:right w:val="nil"/>
          <w:between w:val="nil"/>
        </w:pBdr>
        <w:spacing w:after="0" w:line="240" w:lineRule="auto"/>
        <w:rPr>
          <w:rFonts w:ascii="Arial" w:hAnsi="Arial" w:cs="Arial"/>
          <w:color w:val="000000"/>
          <w:sz w:val="24"/>
          <w:szCs w:val="24"/>
        </w:rPr>
      </w:pPr>
      <w:r w:rsidRPr="00703B53">
        <w:rPr>
          <w:rFonts w:ascii="Arial" w:hAnsi="Arial" w:cs="Arial"/>
          <w:color w:val="000000"/>
          <w:sz w:val="24"/>
          <w:szCs w:val="24"/>
        </w:rPr>
        <w:t xml:space="preserve">działać w dowolnej sieci komputerowej TCP/IP, </w:t>
      </w:r>
    </w:p>
    <w:p w:rsidR="00703B53" w:rsidRPr="00703B53" w:rsidRDefault="00703B53" w:rsidP="00703B53">
      <w:pPr>
        <w:pStyle w:val="Akapitzlist"/>
        <w:widowControl w:val="0"/>
        <w:numPr>
          <w:ilvl w:val="0"/>
          <w:numId w:val="13"/>
        </w:numPr>
        <w:pBdr>
          <w:top w:val="nil"/>
          <w:left w:val="nil"/>
          <w:bottom w:val="nil"/>
          <w:right w:val="nil"/>
          <w:between w:val="nil"/>
        </w:pBdr>
        <w:spacing w:after="0" w:line="240" w:lineRule="auto"/>
        <w:ind w:right="47"/>
        <w:jc w:val="both"/>
        <w:rPr>
          <w:rFonts w:ascii="Arial" w:hAnsi="Arial" w:cs="Arial"/>
          <w:color w:val="000000"/>
          <w:sz w:val="24"/>
          <w:szCs w:val="24"/>
        </w:rPr>
      </w:pPr>
      <w:r w:rsidRPr="00703B53">
        <w:rPr>
          <w:rFonts w:ascii="Arial" w:hAnsi="Arial" w:cs="Arial"/>
          <w:color w:val="000000"/>
          <w:sz w:val="24"/>
          <w:szCs w:val="24"/>
        </w:rPr>
        <w:t xml:space="preserve">być poprawnie obsługiwane z dowolnego komputera, na którym zainstalowany jest system Windows lub Linux </w:t>
      </w:r>
    </w:p>
    <w:p w:rsidR="00703B53" w:rsidRPr="00703B53" w:rsidRDefault="00703B53" w:rsidP="00703B53">
      <w:pPr>
        <w:pStyle w:val="Akapitzlist"/>
        <w:widowControl w:val="0"/>
        <w:numPr>
          <w:ilvl w:val="3"/>
          <w:numId w:val="11"/>
        </w:numPr>
        <w:pBdr>
          <w:top w:val="nil"/>
          <w:left w:val="nil"/>
          <w:bottom w:val="nil"/>
          <w:right w:val="nil"/>
          <w:between w:val="nil"/>
        </w:pBdr>
        <w:spacing w:after="0" w:line="240" w:lineRule="auto"/>
        <w:ind w:left="357" w:right="45" w:hanging="357"/>
        <w:jc w:val="both"/>
        <w:rPr>
          <w:rFonts w:ascii="Arial" w:hAnsi="Arial" w:cs="Arial"/>
          <w:color w:val="000000"/>
          <w:sz w:val="24"/>
          <w:szCs w:val="24"/>
        </w:rPr>
      </w:pPr>
      <w:r w:rsidRPr="00703B53">
        <w:rPr>
          <w:rFonts w:ascii="Arial" w:hAnsi="Arial" w:cs="Arial"/>
          <w:color w:val="000000"/>
          <w:sz w:val="24"/>
          <w:szCs w:val="24"/>
        </w:rPr>
        <w:t xml:space="preserve">Dostarczone Oprogramowanie musi cechować się skalowalnością zarówno pod względem ilości przetwarzanych danych, jak i liczby użytkowników. </w:t>
      </w:r>
    </w:p>
    <w:p w:rsidR="00703B53" w:rsidRPr="00703B53" w:rsidRDefault="00703B53" w:rsidP="00703B53">
      <w:pPr>
        <w:pStyle w:val="Akapitzlist"/>
        <w:widowControl w:val="0"/>
        <w:numPr>
          <w:ilvl w:val="3"/>
          <w:numId w:val="11"/>
        </w:numPr>
        <w:pBdr>
          <w:top w:val="nil"/>
          <w:left w:val="nil"/>
          <w:bottom w:val="nil"/>
          <w:right w:val="nil"/>
          <w:between w:val="nil"/>
        </w:pBdr>
        <w:spacing w:after="0" w:line="240" w:lineRule="auto"/>
        <w:ind w:left="357" w:right="45" w:hanging="357"/>
        <w:jc w:val="both"/>
        <w:rPr>
          <w:rFonts w:ascii="Arial" w:hAnsi="Arial" w:cs="Arial"/>
          <w:color w:val="000000"/>
          <w:sz w:val="24"/>
          <w:szCs w:val="24"/>
        </w:rPr>
      </w:pPr>
      <w:r w:rsidRPr="00703B53">
        <w:rPr>
          <w:rFonts w:ascii="Arial" w:hAnsi="Arial" w:cs="Arial"/>
          <w:color w:val="000000"/>
          <w:sz w:val="24"/>
          <w:szCs w:val="24"/>
        </w:rPr>
        <w:t>Wszystkie interfejsy zewnętrzne dostarczanego Oprogramowania muszą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w:t>
      </w:r>
      <w:r w:rsidR="00BD0AA4">
        <w:rPr>
          <w:rFonts w:ascii="Arial" w:hAnsi="Arial" w:cs="Arial"/>
          <w:color w:val="000000"/>
          <w:sz w:val="24"/>
          <w:szCs w:val="24"/>
        </w:rPr>
        <w:t>leinformatycznych (Dz. U. z 2017</w:t>
      </w:r>
      <w:r w:rsidR="0064364B">
        <w:rPr>
          <w:rFonts w:ascii="Arial" w:hAnsi="Arial" w:cs="Arial"/>
          <w:color w:val="000000"/>
          <w:sz w:val="24"/>
          <w:szCs w:val="24"/>
        </w:rPr>
        <w:t xml:space="preserve"> </w:t>
      </w:r>
      <w:r w:rsidR="00BD0AA4">
        <w:rPr>
          <w:rFonts w:ascii="Arial" w:hAnsi="Arial" w:cs="Arial"/>
          <w:color w:val="000000"/>
          <w:sz w:val="24"/>
          <w:szCs w:val="24"/>
        </w:rPr>
        <w:t>r., poz. 2247</w:t>
      </w:r>
      <w:bookmarkStart w:id="3" w:name="_GoBack"/>
      <w:bookmarkEnd w:id="3"/>
      <w:r w:rsidRPr="00703B53">
        <w:rPr>
          <w:rFonts w:ascii="Arial" w:hAnsi="Arial" w:cs="Arial"/>
          <w:color w:val="000000"/>
          <w:sz w:val="24"/>
          <w:szCs w:val="24"/>
        </w:rPr>
        <w:t xml:space="preserve">), a w pozostałych obszarach będą stosowane powszechnie stosowane standardy (w szczególności standardy otwarte). </w:t>
      </w:r>
    </w:p>
    <w:p w:rsidR="00703B53" w:rsidRPr="00703B53" w:rsidRDefault="00703B53" w:rsidP="00703B53">
      <w:pPr>
        <w:pStyle w:val="Akapitzlist"/>
        <w:widowControl w:val="0"/>
        <w:numPr>
          <w:ilvl w:val="3"/>
          <w:numId w:val="11"/>
        </w:numPr>
        <w:pBdr>
          <w:top w:val="nil"/>
          <w:left w:val="nil"/>
          <w:bottom w:val="nil"/>
          <w:right w:val="nil"/>
          <w:between w:val="nil"/>
        </w:pBdr>
        <w:spacing w:after="0" w:line="240" w:lineRule="auto"/>
        <w:ind w:left="357" w:right="45" w:hanging="357"/>
        <w:jc w:val="both"/>
        <w:rPr>
          <w:rFonts w:ascii="Arial" w:hAnsi="Arial" w:cs="Arial"/>
          <w:color w:val="000000"/>
          <w:sz w:val="24"/>
          <w:szCs w:val="24"/>
        </w:rPr>
      </w:pPr>
      <w:r w:rsidRPr="00703B53">
        <w:rPr>
          <w:rFonts w:ascii="Arial" w:hAnsi="Arial" w:cs="Arial"/>
          <w:color w:val="000000"/>
          <w:sz w:val="24"/>
          <w:szCs w:val="24"/>
        </w:rPr>
        <w:t xml:space="preserve">Wdrożone Oprogramowanie musi zapewniać możliwość tworzenia kopii zapasowych danych. </w:t>
      </w:r>
    </w:p>
    <w:p w:rsidR="00703B53" w:rsidRPr="00703B53" w:rsidRDefault="00703B53" w:rsidP="00703B53">
      <w:pPr>
        <w:pStyle w:val="Akapitzlist"/>
        <w:widowControl w:val="0"/>
        <w:numPr>
          <w:ilvl w:val="3"/>
          <w:numId w:val="11"/>
        </w:numPr>
        <w:pBdr>
          <w:top w:val="nil"/>
          <w:left w:val="nil"/>
          <w:bottom w:val="nil"/>
          <w:right w:val="nil"/>
          <w:between w:val="nil"/>
        </w:pBdr>
        <w:spacing w:after="0" w:line="240" w:lineRule="auto"/>
        <w:ind w:left="357" w:right="40" w:hanging="357"/>
        <w:jc w:val="both"/>
        <w:rPr>
          <w:rFonts w:ascii="Arial" w:hAnsi="Arial" w:cs="Arial"/>
          <w:color w:val="000000"/>
          <w:sz w:val="24"/>
          <w:szCs w:val="24"/>
        </w:rPr>
      </w:pPr>
      <w:r w:rsidRPr="00703B53">
        <w:rPr>
          <w:rFonts w:ascii="Arial" w:hAnsi="Arial" w:cs="Arial"/>
          <w:color w:val="000000"/>
          <w:sz w:val="24"/>
          <w:szCs w:val="24"/>
        </w:rPr>
        <w:t xml:space="preserve">Dokumentacja użytkownika dla każdego elementu Oprogramowania musi zawierać opis funkcji programu, wyjaśniać zasady pracy z programem oraz zawierać opisy przykładowych scenariuszy pracy.  </w:t>
      </w:r>
    </w:p>
    <w:p w:rsidR="00703B53" w:rsidRPr="00703B53" w:rsidRDefault="00703B53" w:rsidP="00703B53">
      <w:pPr>
        <w:pStyle w:val="Akapitzlist"/>
        <w:widowControl w:val="0"/>
        <w:pBdr>
          <w:top w:val="nil"/>
          <w:left w:val="nil"/>
          <w:bottom w:val="nil"/>
          <w:right w:val="nil"/>
          <w:between w:val="nil"/>
        </w:pBdr>
        <w:ind w:left="717" w:right="46"/>
        <w:jc w:val="both"/>
        <w:rPr>
          <w:rFonts w:ascii="Arial" w:hAnsi="Arial" w:cs="Arial"/>
          <w:color w:val="000000"/>
          <w:sz w:val="24"/>
          <w:szCs w:val="24"/>
        </w:rPr>
      </w:pPr>
    </w:p>
    <w:p w:rsidR="00703B53" w:rsidRPr="00703B53" w:rsidRDefault="00703B53" w:rsidP="00703B53">
      <w:pPr>
        <w:pStyle w:val="Akapitzlist"/>
        <w:widowControl w:val="0"/>
        <w:numPr>
          <w:ilvl w:val="0"/>
          <w:numId w:val="12"/>
        </w:numPr>
        <w:pBdr>
          <w:top w:val="nil"/>
          <w:left w:val="nil"/>
          <w:bottom w:val="nil"/>
          <w:right w:val="nil"/>
          <w:between w:val="nil"/>
        </w:pBdr>
        <w:spacing w:after="0" w:line="240" w:lineRule="auto"/>
        <w:ind w:right="46"/>
        <w:jc w:val="both"/>
        <w:rPr>
          <w:rFonts w:ascii="Arial" w:hAnsi="Arial" w:cs="Arial"/>
          <w:b/>
          <w:bCs/>
          <w:color w:val="000000"/>
          <w:sz w:val="24"/>
          <w:szCs w:val="24"/>
        </w:rPr>
      </w:pPr>
      <w:r w:rsidRPr="00703B53">
        <w:rPr>
          <w:rFonts w:ascii="Arial" w:hAnsi="Arial" w:cs="Arial"/>
          <w:b/>
          <w:bCs/>
          <w:color w:val="000000"/>
          <w:sz w:val="24"/>
          <w:szCs w:val="24"/>
        </w:rPr>
        <w:t>Wymagania ogólne dla wdrożeń, szkoleń dostarczanego systemu informatycznego</w:t>
      </w:r>
    </w:p>
    <w:p w:rsidR="00703B53" w:rsidRPr="00703B53" w:rsidRDefault="00703B53" w:rsidP="00703B53">
      <w:pPr>
        <w:widowControl w:val="0"/>
        <w:pBdr>
          <w:top w:val="nil"/>
          <w:left w:val="nil"/>
          <w:bottom w:val="nil"/>
          <w:right w:val="nil"/>
          <w:between w:val="nil"/>
        </w:pBdr>
        <w:ind w:right="46"/>
        <w:jc w:val="both"/>
        <w:rPr>
          <w:rFonts w:ascii="Arial" w:hAnsi="Arial" w:cs="Arial"/>
          <w:b/>
          <w:bCs/>
          <w:color w:val="000000"/>
          <w:sz w:val="24"/>
        </w:rPr>
      </w:pPr>
    </w:p>
    <w:p w:rsidR="00703B53" w:rsidRPr="00703B53" w:rsidRDefault="00703B53" w:rsidP="00703B53">
      <w:pPr>
        <w:jc w:val="both"/>
        <w:rPr>
          <w:rFonts w:ascii="Arial" w:hAnsi="Arial" w:cs="Arial"/>
          <w:sz w:val="24"/>
        </w:rPr>
      </w:pPr>
      <w:r w:rsidRPr="00703B53">
        <w:rPr>
          <w:rFonts w:ascii="Arial" w:hAnsi="Arial" w:cs="Arial"/>
          <w:sz w:val="24"/>
        </w:rPr>
        <w:t>W ramach prac szkoleniowo-wdrożeniowych Wykonawca wykona co najmniej:</w:t>
      </w:r>
    </w:p>
    <w:p w:rsidR="00703B53" w:rsidRPr="00703B53" w:rsidRDefault="00703B53" w:rsidP="00703B53">
      <w:pPr>
        <w:numPr>
          <w:ilvl w:val="0"/>
          <w:numId w:val="16"/>
        </w:numPr>
        <w:ind w:left="709"/>
        <w:jc w:val="both"/>
        <w:rPr>
          <w:rFonts w:ascii="Arial" w:hAnsi="Arial" w:cs="Arial"/>
          <w:sz w:val="24"/>
        </w:rPr>
      </w:pPr>
      <w:r w:rsidRPr="00703B53">
        <w:rPr>
          <w:rFonts w:ascii="Arial" w:hAnsi="Arial" w:cs="Arial"/>
          <w:sz w:val="24"/>
        </w:rPr>
        <w:t>Konfigurację dostarczanego systemu wraz z instalacją wszystkich niezbędnych elementów i oprogramowania wspomagającego niezbędnego do prawidłowej pracy.</w:t>
      </w:r>
    </w:p>
    <w:p w:rsidR="00703B53" w:rsidRPr="00703B53" w:rsidRDefault="00703B53" w:rsidP="00703B53">
      <w:pPr>
        <w:numPr>
          <w:ilvl w:val="0"/>
          <w:numId w:val="16"/>
        </w:numPr>
        <w:ind w:left="709"/>
        <w:jc w:val="both"/>
        <w:rPr>
          <w:rFonts w:ascii="Arial" w:hAnsi="Arial" w:cs="Arial"/>
          <w:sz w:val="24"/>
        </w:rPr>
      </w:pPr>
      <w:r w:rsidRPr="00703B53">
        <w:rPr>
          <w:rFonts w:ascii="Arial" w:hAnsi="Arial" w:cs="Arial"/>
          <w:sz w:val="24"/>
        </w:rPr>
        <w:t xml:space="preserve">Wykonawca zapewni odpowiednią ilość godzin, gwarantującą pracownikom na danym stanowisku sprawną obsługę wdrażanego rozwiązania. Instruktaże (szkolenia) mogą odbywać się zdalnie za pomocą dedykowanych rozwiązań, których zapewnienie leży po stronie Wykonawcy. </w:t>
      </w:r>
    </w:p>
    <w:p w:rsidR="00703B53" w:rsidRPr="00703B53" w:rsidRDefault="00703B53" w:rsidP="00703B53">
      <w:pPr>
        <w:numPr>
          <w:ilvl w:val="0"/>
          <w:numId w:val="16"/>
        </w:numPr>
        <w:ind w:left="709"/>
        <w:jc w:val="both"/>
        <w:rPr>
          <w:rFonts w:ascii="Arial" w:hAnsi="Arial" w:cs="Arial"/>
          <w:sz w:val="24"/>
        </w:rPr>
      </w:pPr>
      <w:r w:rsidRPr="00703B53">
        <w:rPr>
          <w:rFonts w:ascii="Arial" w:hAnsi="Arial" w:cs="Arial"/>
          <w:sz w:val="24"/>
        </w:rPr>
        <w:t xml:space="preserve">Wykonawca przeszkoli osoby pełniące obowiązki administratorów wskazanych przez Zamawiającego w zakresie zarządzania użytkownikami i uprawnieniami oraz sporządzania kopii i odtwarzania danych. </w:t>
      </w:r>
    </w:p>
    <w:p w:rsidR="00703B53" w:rsidRPr="00703B53" w:rsidRDefault="00703B53" w:rsidP="00703B53">
      <w:pPr>
        <w:numPr>
          <w:ilvl w:val="0"/>
          <w:numId w:val="16"/>
        </w:numPr>
        <w:ind w:left="709"/>
        <w:jc w:val="both"/>
        <w:rPr>
          <w:rFonts w:ascii="Arial" w:hAnsi="Arial" w:cs="Arial"/>
          <w:sz w:val="24"/>
        </w:rPr>
      </w:pPr>
      <w:r w:rsidRPr="00703B53">
        <w:rPr>
          <w:rFonts w:ascii="Arial" w:hAnsi="Arial" w:cs="Arial"/>
          <w:sz w:val="24"/>
        </w:rPr>
        <w:t xml:space="preserve"> Wykonawca w ramach wdrożenia:</w:t>
      </w:r>
    </w:p>
    <w:p w:rsidR="00703B53" w:rsidRPr="00703B53" w:rsidRDefault="00703B53" w:rsidP="00703B53">
      <w:pPr>
        <w:numPr>
          <w:ilvl w:val="0"/>
          <w:numId w:val="15"/>
        </w:numPr>
        <w:ind w:left="1276"/>
        <w:jc w:val="both"/>
        <w:rPr>
          <w:rFonts w:ascii="Arial" w:hAnsi="Arial" w:cs="Arial"/>
          <w:sz w:val="24"/>
        </w:rPr>
      </w:pPr>
      <w:r w:rsidRPr="00703B53">
        <w:rPr>
          <w:rFonts w:ascii="Arial" w:hAnsi="Arial" w:cs="Arial"/>
          <w:sz w:val="24"/>
        </w:rPr>
        <w:t>wprowadzi uprawnienia administratora.</w:t>
      </w:r>
    </w:p>
    <w:p w:rsidR="00703B53" w:rsidRPr="00703B53" w:rsidRDefault="00703B53" w:rsidP="00703B53">
      <w:pPr>
        <w:numPr>
          <w:ilvl w:val="0"/>
          <w:numId w:val="15"/>
        </w:numPr>
        <w:ind w:left="1276"/>
        <w:jc w:val="both"/>
        <w:rPr>
          <w:rFonts w:ascii="Arial" w:hAnsi="Arial" w:cs="Arial"/>
          <w:sz w:val="24"/>
        </w:rPr>
      </w:pPr>
      <w:r w:rsidRPr="00703B53">
        <w:rPr>
          <w:rFonts w:ascii="Arial" w:hAnsi="Arial" w:cs="Arial"/>
          <w:sz w:val="24"/>
        </w:rPr>
        <w:t>wprowadzi dane początkowe (startowych) w zakresie niezbędnym do rozpoczęcia pracy (wprowadzenie danych jednostek organizacyjnych, kont użytkowników, uprawnień).</w:t>
      </w:r>
    </w:p>
    <w:p w:rsidR="00703B53" w:rsidRPr="00703B53" w:rsidRDefault="00703B53" w:rsidP="00703B53">
      <w:pPr>
        <w:widowControl w:val="0"/>
        <w:pBdr>
          <w:top w:val="nil"/>
          <w:left w:val="nil"/>
          <w:bottom w:val="nil"/>
          <w:right w:val="nil"/>
          <w:between w:val="nil"/>
        </w:pBdr>
        <w:jc w:val="both"/>
        <w:rPr>
          <w:rFonts w:ascii="Arial" w:hAnsi="Arial" w:cs="Arial"/>
          <w:color w:val="000000"/>
          <w:sz w:val="24"/>
        </w:rPr>
      </w:pPr>
    </w:p>
    <w:p w:rsidR="00703B53" w:rsidRPr="00703B53" w:rsidRDefault="00703B53" w:rsidP="00703B53">
      <w:pPr>
        <w:pStyle w:val="Akapitzlist"/>
        <w:widowControl w:val="0"/>
        <w:numPr>
          <w:ilvl w:val="0"/>
          <w:numId w:val="12"/>
        </w:numPr>
        <w:pBdr>
          <w:top w:val="nil"/>
          <w:left w:val="nil"/>
          <w:bottom w:val="nil"/>
          <w:right w:val="nil"/>
          <w:between w:val="nil"/>
        </w:pBdr>
        <w:spacing w:after="0" w:line="240" w:lineRule="auto"/>
        <w:jc w:val="both"/>
        <w:rPr>
          <w:rFonts w:ascii="Arial" w:hAnsi="Arial" w:cs="Arial"/>
          <w:b/>
          <w:bCs/>
          <w:color w:val="000000"/>
          <w:sz w:val="24"/>
          <w:szCs w:val="24"/>
        </w:rPr>
      </w:pPr>
      <w:r w:rsidRPr="00703B53">
        <w:rPr>
          <w:rFonts w:ascii="Arial" w:hAnsi="Arial" w:cs="Arial"/>
          <w:b/>
          <w:bCs/>
          <w:color w:val="000000"/>
          <w:sz w:val="24"/>
          <w:szCs w:val="24"/>
        </w:rPr>
        <w:t>Wymagania licencyjne dla dostarczanego systemu informatycznego</w:t>
      </w:r>
    </w:p>
    <w:p w:rsidR="00703B53" w:rsidRPr="00703B53" w:rsidRDefault="00703B53" w:rsidP="00703B53">
      <w:pPr>
        <w:pStyle w:val="Akapitzlist"/>
        <w:widowControl w:val="0"/>
        <w:pBdr>
          <w:top w:val="nil"/>
          <w:left w:val="nil"/>
          <w:bottom w:val="nil"/>
          <w:right w:val="nil"/>
          <w:between w:val="nil"/>
        </w:pBdr>
        <w:jc w:val="both"/>
        <w:rPr>
          <w:rFonts w:ascii="Arial" w:hAnsi="Arial" w:cs="Arial"/>
          <w:color w:val="000000"/>
          <w:sz w:val="24"/>
          <w:szCs w:val="24"/>
        </w:rPr>
      </w:pP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Licencjobiorcą licencji będzie Gmina Żarnowiec.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Licencje muszą zostać wystawione na czas nieoznaczony (bezterminowy).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Oferowane licencje muszą pozwalać na użytkowanie Oprogramowania zgodnie z </w:t>
      </w:r>
      <w:r w:rsidRPr="00703B53">
        <w:rPr>
          <w:rFonts w:ascii="Arial" w:hAnsi="Arial" w:cs="Arial"/>
          <w:color w:val="000000"/>
          <w:sz w:val="24"/>
          <w:szCs w:val="24"/>
        </w:rPr>
        <w:lastRenderedPageBreak/>
        <w:t xml:space="preserve">przepisami prawa.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Licencja Oprogramowania musi być licencją bez ograniczenia ilości komputerów, serwerów, na których można zainstalować i używać Oprogramowanie.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Licencja na Oprogramowanie nie może w żaden sposób ograniczać sposobu pracy użytkowników końcowych (np. praca w sieci LAN, praca zdalna poprzez Internet).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Licencja Oprogramowania nie może ograniczać prawa licencjobiorcy do wykonania kopii bezpieczeństwa oprogramowania w ilości, którą uzna za stosowną.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Licencja Oprogramowania nie może ograniczać prawa licencjobiorcy do instalacji i użytkowania oprogramowania na serwerach zapasowych uruchamianych w przypadku awarii serwerów podstawowych</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Licencja Oprogramowania nie może ograniczać prawa licencjobiorcy do korzystania z oprogramowania na dowolnym komputerze klienckim (licencja nie może być przypisana do komputera/urządzenia).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 xml:space="preserve">Licencja Oprogramowania musi pozwalać na modyfikację, zmianę, rozbudowę Oprogramowania w celu przystosowania go do potrzeb Zamawiającego. </w:t>
      </w:r>
    </w:p>
    <w:p w:rsidR="00703B53" w:rsidRPr="00703B53" w:rsidRDefault="00703B53" w:rsidP="00703B53">
      <w:pPr>
        <w:pStyle w:val="Akapitzlist"/>
        <w:widowControl w:val="0"/>
        <w:numPr>
          <w:ilvl w:val="0"/>
          <w:numId w:val="14"/>
        </w:numPr>
        <w:pBdr>
          <w:top w:val="nil"/>
          <w:left w:val="nil"/>
          <w:bottom w:val="nil"/>
          <w:right w:val="nil"/>
          <w:between w:val="nil"/>
        </w:pBdr>
        <w:spacing w:after="0" w:line="240" w:lineRule="auto"/>
        <w:ind w:left="357" w:hanging="357"/>
        <w:jc w:val="both"/>
        <w:rPr>
          <w:rFonts w:ascii="Arial" w:hAnsi="Arial" w:cs="Arial"/>
          <w:color w:val="000000"/>
          <w:sz w:val="24"/>
          <w:szCs w:val="24"/>
        </w:rPr>
      </w:pPr>
      <w:r w:rsidRPr="00703B53">
        <w:rPr>
          <w:rFonts w:ascii="Arial" w:hAnsi="Arial" w:cs="Arial"/>
          <w:color w:val="000000"/>
          <w:sz w:val="24"/>
          <w:szCs w:val="24"/>
        </w:rPr>
        <w:t>Wszystkie dostarczane licencje na oprogramowanie muszą uwzględniać warunki funkcjonowania instytucji administracji publicznej</w:t>
      </w:r>
    </w:p>
    <w:p w:rsidR="00703B53" w:rsidRPr="00703B53" w:rsidRDefault="00703B53" w:rsidP="00703B53">
      <w:pPr>
        <w:pStyle w:val="Akapitzlist"/>
        <w:widowControl w:val="0"/>
        <w:pBdr>
          <w:top w:val="nil"/>
          <w:left w:val="nil"/>
          <w:bottom w:val="nil"/>
          <w:right w:val="nil"/>
          <w:between w:val="nil"/>
        </w:pBdr>
        <w:ind w:left="357"/>
        <w:jc w:val="both"/>
        <w:rPr>
          <w:rFonts w:ascii="Arial" w:hAnsi="Arial" w:cs="Arial"/>
          <w:color w:val="000000"/>
          <w:sz w:val="24"/>
          <w:szCs w:val="24"/>
        </w:rPr>
      </w:pPr>
    </w:p>
    <w:p w:rsidR="00703B53" w:rsidRPr="00703B53" w:rsidRDefault="00703B53" w:rsidP="00703B53">
      <w:pPr>
        <w:pStyle w:val="Akapitzlist"/>
        <w:widowControl w:val="0"/>
        <w:numPr>
          <w:ilvl w:val="0"/>
          <w:numId w:val="12"/>
        </w:numPr>
        <w:pBdr>
          <w:top w:val="nil"/>
          <w:left w:val="nil"/>
          <w:bottom w:val="nil"/>
          <w:right w:val="nil"/>
          <w:between w:val="nil"/>
        </w:pBdr>
        <w:spacing w:after="0" w:line="240" w:lineRule="auto"/>
        <w:jc w:val="both"/>
        <w:rPr>
          <w:rFonts w:ascii="Arial" w:hAnsi="Arial" w:cs="Arial"/>
          <w:b/>
          <w:bCs/>
          <w:color w:val="000000"/>
          <w:sz w:val="24"/>
          <w:szCs w:val="24"/>
        </w:rPr>
      </w:pPr>
      <w:r w:rsidRPr="00703B53">
        <w:rPr>
          <w:rFonts w:ascii="Arial" w:hAnsi="Arial" w:cs="Arial"/>
          <w:b/>
          <w:bCs/>
          <w:color w:val="000000"/>
          <w:sz w:val="24"/>
          <w:szCs w:val="24"/>
        </w:rPr>
        <w:t>Wymagania dla usług gwarancyjnych dla dostarczanego oprogramowania</w:t>
      </w:r>
    </w:p>
    <w:p w:rsidR="00703B53" w:rsidRPr="00703B53" w:rsidRDefault="00703B53" w:rsidP="00703B53">
      <w:pPr>
        <w:widowControl w:val="0"/>
        <w:pBdr>
          <w:top w:val="nil"/>
          <w:left w:val="nil"/>
          <w:bottom w:val="nil"/>
          <w:right w:val="nil"/>
          <w:between w:val="nil"/>
        </w:pBdr>
        <w:jc w:val="both"/>
        <w:rPr>
          <w:rFonts w:ascii="Arial" w:hAnsi="Arial" w:cs="Arial"/>
          <w:color w:val="000000"/>
          <w:sz w:val="24"/>
        </w:rPr>
      </w:pPr>
    </w:p>
    <w:p w:rsidR="00703B53" w:rsidRPr="00703B53" w:rsidRDefault="00703B53" w:rsidP="00703B53">
      <w:pPr>
        <w:pStyle w:val="Akapitzlist"/>
        <w:widowControl w:val="0"/>
        <w:numPr>
          <w:ilvl w:val="0"/>
          <w:numId w:val="5"/>
        </w:numPr>
        <w:pBdr>
          <w:top w:val="nil"/>
          <w:left w:val="nil"/>
          <w:bottom w:val="nil"/>
          <w:right w:val="nil"/>
          <w:between w:val="nil"/>
        </w:pBdr>
        <w:spacing w:after="0" w:line="240" w:lineRule="auto"/>
        <w:ind w:left="360"/>
        <w:jc w:val="both"/>
        <w:rPr>
          <w:rFonts w:ascii="Arial" w:hAnsi="Arial" w:cs="Arial"/>
          <w:color w:val="000000"/>
          <w:sz w:val="24"/>
          <w:szCs w:val="24"/>
        </w:rPr>
      </w:pPr>
      <w:r w:rsidRPr="00703B53">
        <w:rPr>
          <w:rFonts w:ascii="Arial" w:hAnsi="Arial" w:cs="Arial"/>
          <w:color w:val="000000"/>
          <w:sz w:val="24"/>
          <w:szCs w:val="24"/>
        </w:rPr>
        <w:t xml:space="preserve">Świadczenie usługi gwarancji w okresie 24 miesięcy rozpocznie swój bieg w dniu następnym po podpisaniu końcowego protokołu odbioru przedmiotu zamówienia przez Zamawiającego. Świadczenie usługi gwarancji ma na celu zapewnienie ciągłości sprawnego działania systemu informatycznego poprzez realizację działań naprawczych wynikających z analizy ujawnionych problemów, wykrytych błędów i wad systemów, niewłaściwego działania systemu, spadku wydajności oraz zmian prawnych uniemożliwiających zgodne z prawem funkcjonowanie systemu. W szczególności: </w:t>
      </w:r>
    </w:p>
    <w:p w:rsidR="00703B53" w:rsidRPr="00703B53" w:rsidRDefault="00703B53" w:rsidP="00703B53">
      <w:pPr>
        <w:pStyle w:val="Akapitzlist"/>
        <w:widowControl w:val="0"/>
        <w:numPr>
          <w:ilvl w:val="0"/>
          <w:numId w:val="17"/>
        </w:numPr>
        <w:pBdr>
          <w:top w:val="nil"/>
          <w:left w:val="nil"/>
          <w:bottom w:val="nil"/>
          <w:right w:val="nil"/>
          <w:between w:val="nil"/>
        </w:pBdr>
        <w:spacing w:after="0" w:line="240" w:lineRule="auto"/>
        <w:ind w:right="45"/>
        <w:jc w:val="both"/>
        <w:rPr>
          <w:rFonts w:ascii="Arial" w:hAnsi="Arial" w:cs="Arial"/>
          <w:color w:val="000000"/>
          <w:sz w:val="24"/>
          <w:szCs w:val="24"/>
        </w:rPr>
      </w:pPr>
      <w:r w:rsidRPr="00703B53">
        <w:rPr>
          <w:rFonts w:ascii="Arial" w:hAnsi="Arial" w:cs="Arial"/>
          <w:color w:val="000000"/>
          <w:sz w:val="24"/>
          <w:szCs w:val="24"/>
        </w:rPr>
        <w:t xml:space="preserve">Wykonawca zobowiąże się do dostarczania wolnych od wad i zgodnych z aktualnie obowiązującym prawem kolejnych wersji Oprogramowania składającego się na przedmiot zamówienia. </w:t>
      </w:r>
    </w:p>
    <w:p w:rsidR="00703B53" w:rsidRPr="00703B53" w:rsidRDefault="00703B53" w:rsidP="00703B53">
      <w:pPr>
        <w:pStyle w:val="Akapitzlist"/>
        <w:widowControl w:val="0"/>
        <w:numPr>
          <w:ilvl w:val="0"/>
          <w:numId w:val="17"/>
        </w:numPr>
        <w:pBdr>
          <w:top w:val="nil"/>
          <w:left w:val="nil"/>
          <w:bottom w:val="nil"/>
          <w:right w:val="nil"/>
          <w:between w:val="nil"/>
        </w:pBdr>
        <w:spacing w:after="0" w:line="240" w:lineRule="auto"/>
        <w:ind w:right="45"/>
        <w:jc w:val="both"/>
        <w:rPr>
          <w:rFonts w:ascii="Arial" w:hAnsi="Arial" w:cs="Arial"/>
          <w:color w:val="000000"/>
          <w:sz w:val="24"/>
          <w:szCs w:val="24"/>
        </w:rPr>
      </w:pPr>
      <w:r w:rsidRPr="00703B53">
        <w:rPr>
          <w:rFonts w:ascii="Arial" w:hAnsi="Arial" w:cs="Arial"/>
          <w:color w:val="000000"/>
          <w:sz w:val="24"/>
          <w:szCs w:val="24"/>
        </w:rPr>
        <w:t xml:space="preserve">Wykonawca zobowiąże się do aktualizacji dokumentacji użytkownika i/lub administratora. </w:t>
      </w:r>
    </w:p>
    <w:p w:rsidR="00703B53" w:rsidRPr="00703B53" w:rsidRDefault="00703B53" w:rsidP="00703B53">
      <w:pPr>
        <w:pStyle w:val="Akapitzlist"/>
        <w:widowControl w:val="0"/>
        <w:numPr>
          <w:ilvl w:val="0"/>
          <w:numId w:val="17"/>
        </w:numPr>
        <w:pBdr>
          <w:top w:val="nil"/>
          <w:left w:val="nil"/>
          <w:bottom w:val="nil"/>
          <w:right w:val="nil"/>
          <w:between w:val="nil"/>
        </w:pBdr>
        <w:spacing w:after="0" w:line="240" w:lineRule="auto"/>
        <w:ind w:right="45"/>
        <w:jc w:val="both"/>
        <w:rPr>
          <w:rFonts w:ascii="Arial" w:hAnsi="Arial" w:cs="Arial"/>
          <w:color w:val="000000"/>
          <w:sz w:val="24"/>
          <w:szCs w:val="24"/>
        </w:rPr>
      </w:pPr>
      <w:r w:rsidRPr="00703B53">
        <w:rPr>
          <w:rFonts w:ascii="Arial" w:hAnsi="Arial" w:cs="Arial"/>
          <w:color w:val="000000"/>
          <w:sz w:val="24"/>
          <w:szCs w:val="24"/>
        </w:rPr>
        <w:t xml:space="preserve">Wykonawca zapewni w godzinach pracy Urzędu w dni robocze obecność specjalistów mających niezbędną wiedzę i doświadczenie z zakresu eksploatacji przedmiotu zamówienia, którzy będą odpowiedzialni za przyjmowanie zgłoszeń i realizację działań naprawczych wynikających z analizy ujawnionych problemów, wykrytych błędów i wad systemów, niewłaściwego działania systemu, spadku wydajności. </w:t>
      </w:r>
    </w:p>
    <w:p w:rsidR="00703B53" w:rsidRPr="00703B53" w:rsidRDefault="00703B53" w:rsidP="00703B53">
      <w:pPr>
        <w:pStyle w:val="Akapitzlist"/>
        <w:widowControl w:val="0"/>
        <w:numPr>
          <w:ilvl w:val="0"/>
          <w:numId w:val="5"/>
        </w:numPr>
        <w:pBdr>
          <w:top w:val="nil"/>
          <w:left w:val="nil"/>
          <w:bottom w:val="nil"/>
          <w:right w:val="nil"/>
          <w:between w:val="nil"/>
        </w:pBdr>
        <w:spacing w:after="0" w:line="240" w:lineRule="auto"/>
        <w:ind w:left="360" w:right="45"/>
        <w:jc w:val="both"/>
        <w:rPr>
          <w:rFonts w:ascii="Arial" w:hAnsi="Arial" w:cs="Arial"/>
          <w:color w:val="000000"/>
          <w:sz w:val="24"/>
          <w:szCs w:val="24"/>
        </w:rPr>
      </w:pPr>
      <w:r w:rsidRPr="00703B53">
        <w:rPr>
          <w:rFonts w:ascii="Arial" w:hAnsi="Arial" w:cs="Arial"/>
          <w:color w:val="000000"/>
          <w:sz w:val="24"/>
          <w:szCs w:val="24"/>
        </w:rPr>
        <w:t xml:space="preserve">W ramach gwarancji Wykonawca będzie zobowiązany do nieodpłatnego: </w:t>
      </w:r>
    </w:p>
    <w:p w:rsidR="00703B53" w:rsidRPr="00703B53" w:rsidRDefault="00703B53" w:rsidP="00703B53">
      <w:pPr>
        <w:pStyle w:val="Akapitzlist"/>
        <w:widowControl w:val="0"/>
        <w:numPr>
          <w:ilvl w:val="1"/>
          <w:numId w:val="5"/>
        </w:numPr>
        <w:pBdr>
          <w:top w:val="nil"/>
          <w:left w:val="nil"/>
          <w:bottom w:val="nil"/>
          <w:right w:val="nil"/>
          <w:between w:val="nil"/>
        </w:pBdr>
        <w:spacing w:after="0" w:line="240" w:lineRule="auto"/>
        <w:ind w:left="714" w:hanging="357"/>
        <w:jc w:val="both"/>
        <w:rPr>
          <w:rFonts w:ascii="Arial" w:hAnsi="Arial" w:cs="Arial"/>
          <w:color w:val="000000"/>
          <w:sz w:val="24"/>
          <w:szCs w:val="24"/>
        </w:rPr>
      </w:pPr>
      <w:r w:rsidRPr="00703B53">
        <w:rPr>
          <w:rFonts w:ascii="Arial" w:hAnsi="Arial" w:cs="Arial"/>
          <w:color w:val="000000"/>
          <w:sz w:val="24"/>
          <w:szCs w:val="24"/>
        </w:rPr>
        <w:t xml:space="preserve">usuwania błędu, awarii, wady z przyczyn zawinionych przez Wykonawcę będących konsekwencją wystąpienia: błędu w systemie, błędu lub wady </w:t>
      </w:r>
      <w:r w:rsidRPr="00703B53">
        <w:rPr>
          <w:rFonts w:ascii="Arial" w:hAnsi="Arial" w:cs="Arial"/>
          <w:color w:val="000000"/>
          <w:sz w:val="24"/>
          <w:szCs w:val="24"/>
        </w:rPr>
        <w:lastRenderedPageBreak/>
        <w:t xml:space="preserve">fizycznej pakietu aktualizacyjnego lub instalacyjnego, błędu w dokumentacji administratora lub w dokumentacji użytkownika, błędu w wykonaniu usług przez Wykonawcę; </w:t>
      </w:r>
    </w:p>
    <w:p w:rsidR="00703B53" w:rsidRPr="00703B53" w:rsidRDefault="00703B53" w:rsidP="00703B53">
      <w:pPr>
        <w:pStyle w:val="Akapitzlist"/>
        <w:widowControl w:val="0"/>
        <w:numPr>
          <w:ilvl w:val="1"/>
          <w:numId w:val="5"/>
        </w:numPr>
        <w:pBdr>
          <w:top w:val="nil"/>
          <w:left w:val="nil"/>
          <w:bottom w:val="nil"/>
          <w:right w:val="nil"/>
          <w:between w:val="nil"/>
        </w:pBdr>
        <w:spacing w:after="0" w:line="240" w:lineRule="auto"/>
        <w:ind w:left="714" w:hanging="357"/>
        <w:jc w:val="both"/>
        <w:rPr>
          <w:rFonts w:ascii="Arial" w:hAnsi="Arial" w:cs="Arial"/>
          <w:color w:val="000000"/>
          <w:sz w:val="24"/>
          <w:szCs w:val="24"/>
        </w:rPr>
      </w:pPr>
      <w:r w:rsidRPr="00703B53">
        <w:rPr>
          <w:rFonts w:ascii="Arial" w:hAnsi="Arial" w:cs="Arial"/>
          <w:color w:val="000000"/>
          <w:sz w:val="24"/>
          <w:szCs w:val="24"/>
        </w:rPr>
        <w:t xml:space="preserve">usuwania błędu, awarii, wady związanych z realizacją usługi wdrożenia Oprogramowania; </w:t>
      </w:r>
    </w:p>
    <w:p w:rsidR="00703B53" w:rsidRPr="00703B53" w:rsidRDefault="00703B53" w:rsidP="00703B53">
      <w:pPr>
        <w:pStyle w:val="Akapitzlist"/>
        <w:widowControl w:val="0"/>
        <w:numPr>
          <w:ilvl w:val="1"/>
          <w:numId w:val="5"/>
        </w:numPr>
        <w:pBdr>
          <w:top w:val="nil"/>
          <w:left w:val="nil"/>
          <w:bottom w:val="nil"/>
          <w:right w:val="nil"/>
          <w:between w:val="nil"/>
        </w:pBdr>
        <w:spacing w:after="0" w:line="240" w:lineRule="auto"/>
        <w:ind w:left="714" w:hanging="357"/>
        <w:jc w:val="both"/>
        <w:rPr>
          <w:rFonts w:ascii="Arial" w:hAnsi="Arial" w:cs="Arial"/>
          <w:color w:val="000000"/>
          <w:sz w:val="24"/>
          <w:szCs w:val="24"/>
        </w:rPr>
      </w:pPr>
      <w:r w:rsidRPr="00703B53">
        <w:rPr>
          <w:rFonts w:ascii="Arial" w:hAnsi="Arial" w:cs="Arial"/>
          <w:color w:val="000000"/>
          <w:sz w:val="24"/>
          <w:szCs w:val="24"/>
        </w:rPr>
        <w:t xml:space="preserve">usuwania błędów lub awarii spowodowanych aktualizacjami Oprogramowania. </w:t>
      </w:r>
    </w:p>
    <w:p w:rsidR="00703B53" w:rsidRPr="00703B53" w:rsidRDefault="00703B53" w:rsidP="00703B53">
      <w:pPr>
        <w:pStyle w:val="Akapitzlist"/>
        <w:widowControl w:val="0"/>
        <w:numPr>
          <w:ilvl w:val="0"/>
          <w:numId w:val="5"/>
        </w:numPr>
        <w:pBdr>
          <w:top w:val="nil"/>
          <w:left w:val="nil"/>
          <w:bottom w:val="nil"/>
          <w:right w:val="nil"/>
          <w:between w:val="nil"/>
        </w:pBdr>
        <w:spacing w:after="0" w:line="240" w:lineRule="auto"/>
        <w:ind w:left="360"/>
        <w:jc w:val="both"/>
        <w:rPr>
          <w:rFonts w:ascii="Arial" w:hAnsi="Arial" w:cs="Arial"/>
          <w:color w:val="000000"/>
          <w:sz w:val="24"/>
          <w:szCs w:val="24"/>
        </w:rPr>
      </w:pPr>
      <w:r w:rsidRPr="00703B53">
        <w:rPr>
          <w:rFonts w:ascii="Arial" w:hAnsi="Arial" w:cs="Arial"/>
          <w:color w:val="000000"/>
          <w:sz w:val="24"/>
          <w:szCs w:val="24"/>
        </w:rPr>
        <w:t xml:space="preserve">Wykonawca będzie musiał informować Zamawiającego o dostępnych aktualizacjach i poprawkach Oprogramowania najpóźniej w ciągu 7 dni od dnia publicznego udostępnienia aktualizacji bądź poprawki. </w:t>
      </w:r>
    </w:p>
    <w:p w:rsidR="00703B53" w:rsidRPr="00703B53" w:rsidRDefault="00703B53" w:rsidP="00703B53">
      <w:pPr>
        <w:pStyle w:val="Akapitzlist"/>
        <w:widowControl w:val="0"/>
        <w:numPr>
          <w:ilvl w:val="0"/>
          <w:numId w:val="5"/>
        </w:numPr>
        <w:pBdr>
          <w:top w:val="nil"/>
          <w:left w:val="nil"/>
          <w:bottom w:val="nil"/>
          <w:right w:val="nil"/>
          <w:between w:val="nil"/>
        </w:pBdr>
        <w:spacing w:after="0" w:line="240" w:lineRule="auto"/>
        <w:ind w:left="360"/>
        <w:jc w:val="both"/>
        <w:rPr>
          <w:rFonts w:ascii="Arial" w:hAnsi="Arial" w:cs="Arial"/>
          <w:color w:val="000000"/>
          <w:sz w:val="24"/>
          <w:szCs w:val="24"/>
        </w:rPr>
      </w:pPr>
      <w:r w:rsidRPr="00703B53">
        <w:rPr>
          <w:rFonts w:ascii="Arial" w:hAnsi="Arial" w:cs="Arial"/>
          <w:color w:val="000000"/>
          <w:sz w:val="24"/>
          <w:szCs w:val="24"/>
        </w:rPr>
        <w:t xml:space="preserve">Zgłaszający, w przypadku wystąpienia błędu, awarii, wady przesyłać będzie do Wykonawcy przy pomocy środków komunikacji formularz zgłoszenia wystąpienia błędu/awarii/wady. </w:t>
      </w:r>
    </w:p>
    <w:p w:rsidR="00703B53" w:rsidRPr="00703B53" w:rsidRDefault="00703B53" w:rsidP="00703B53">
      <w:pPr>
        <w:pStyle w:val="Akapitzlist"/>
        <w:widowControl w:val="0"/>
        <w:numPr>
          <w:ilvl w:val="0"/>
          <w:numId w:val="5"/>
        </w:numPr>
        <w:pBdr>
          <w:top w:val="nil"/>
          <w:left w:val="nil"/>
          <w:bottom w:val="nil"/>
          <w:right w:val="nil"/>
          <w:between w:val="nil"/>
        </w:pBdr>
        <w:spacing w:after="0" w:line="240" w:lineRule="auto"/>
        <w:ind w:left="360"/>
        <w:jc w:val="both"/>
        <w:rPr>
          <w:rFonts w:ascii="Arial" w:hAnsi="Arial" w:cs="Arial"/>
          <w:color w:val="000000"/>
          <w:sz w:val="24"/>
          <w:szCs w:val="24"/>
        </w:rPr>
      </w:pPr>
      <w:r w:rsidRPr="00703B53">
        <w:rPr>
          <w:rFonts w:ascii="Arial" w:hAnsi="Arial" w:cs="Arial"/>
          <w:color w:val="000000"/>
          <w:sz w:val="24"/>
          <w:szCs w:val="24"/>
        </w:rPr>
        <w:t xml:space="preserve">Wykonawca zapewni dostosowanie Oprogramowania do obowiązujących przepisów nie później niż w dniu ich wejścia w życie, chyba że, zmiany prawne nie zostały ogłoszone z minimum 30- 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 </w:t>
      </w:r>
    </w:p>
    <w:p w:rsidR="00703B53" w:rsidRPr="00703B53" w:rsidRDefault="00703B53" w:rsidP="00703B53">
      <w:pPr>
        <w:pStyle w:val="Akapitzlist"/>
        <w:widowControl w:val="0"/>
        <w:numPr>
          <w:ilvl w:val="0"/>
          <w:numId w:val="5"/>
        </w:numPr>
        <w:pBdr>
          <w:top w:val="nil"/>
          <w:left w:val="nil"/>
          <w:bottom w:val="nil"/>
          <w:right w:val="nil"/>
          <w:between w:val="nil"/>
        </w:pBdr>
        <w:spacing w:after="0" w:line="240" w:lineRule="auto"/>
        <w:ind w:left="360"/>
        <w:jc w:val="both"/>
        <w:rPr>
          <w:rFonts w:ascii="Arial" w:hAnsi="Arial" w:cs="Arial"/>
          <w:color w:val="000000"/>
          <w:sz w:val="24"/>
          <w:szCs w:val="24"/>
        </w:rPr>
      </w:pPr>
      <w:r w:rsidRPr="00703B53">
        <w:rPr>
          <w:rFonts w:ascii="Arial" w:hAnsi="Arial" w:cs="Arial"/>
          <w:color w:val="000000"/>
          <w:sz w:val="24"/>
          <w:szCs w:val="24"/>
        </w:rPr>
        <w:t xml:space="preserve">Zgłoszenia będą klasyfikowane na awarie, błędy i wady: </w:t>
      </w:r>
    </w:p>
    <w:p w:rsidR="00703B53" w:rsidRPr="00703B53" w:rsidRDefault="00703B53" w:rsidP="00703B53">
      <w:pPr>
        <w:pStyle w:val="Akapitzlist"/>
        <w:widowControl w:val="0"/>
        <w:numPr>
          <w:ilvl w:val="0"/>
          <w:numId w:val="6"/>
        </w:numPr>
        <w:pBdr>
          <w:top w:val="nil"/>
          <w:left w:val="nil"/>
          <w:bottom w:val="nil"/>
          <w:right w:val="nil"/>
          <w:between w:val="nil"/>
        </w:pBdr>
        <w:spacing w:after="0" w:line="240" w:lineRule="auto"/>
        <w:jc w:val="both"/>
        <w:rPr>
          <w:rFonts w:ascii="Arial" w:hAnsi="Arial" w:cs="Arial"/>
          <w:color w:val="000000"/>
          <w:sz w:val="24"/>
          <w:szCs w:val="24"/>
        </w:rPr>
      </w:pPr>
      <w:r w:rsidRPr="00703B53">
        <w:rPr>
          <w:rFonts w:ascii="Arial" w:hAnsi="Arial" w:cs="Arial"/>
          <w:color w:val="000000"/>
          <w:sz w:val="24"/>
          <w:szCs w:val="24"/>
        </w:rPr>
        <w:t>Awaria krytyczna - oznacza sytuację, w której nie jest możliwe prawidłowe użytkowanie Oprogramowania z powodu uszkodzenia lub utraty spójności danych, struktur danych</w:t>
      </w:r>
    </w:p>
    <w:p w:rsidR="00703B53" w:rsidRPr="00703B53" w:rsidRDefault="00703B53" w:rsidP="00703B53">
      <w:pPr>
        <w:pStyle w:val="Akapitzlist"/>
        <w:widowControl w:val="0"/>
        <w:numPr>
          <w:ilvl w:val="0"/>
          <w:numId w:val="6"/>
        </w:numPr>
        <w:pBdr>
          <w:top w:val="nil"/>
          <w:left w:val="nil"/>
          <w:bottom w:val="nil"/>
          <w:right w:val="nil"/>
          <w:between w:val="nil"/>
        </w:pBdr>
        <w:spacing w:after="0" w:line="240" w:lineRule="auto"/>
        <w:ind w:right="50"/>
        <w:jc w:val="both"/>
        <w:rPr>
          <w:rFonts w:ascii="Arial" w:hAnsi="Arial" w:cs="Arial"/>
          <w:color w:val="000000"/>
          <w:sz w:val="24"/>
          <w:szCs w:val="24"/>
        </w:rPr>
      </w:pPr>
      <w:r w:rsidRPr="00703B53">
        <w:rPr>
          <w:rFonts w:ascii="Arial" w:hAnsi="Arial" w:cs="Arial"/>
          <w:color w:val="000000"/>
          <w:sz w:val="24"/>
          <w:szCs w:val="24"/>
        </w:rPr>
        <w:t xml:space="preserve">Błąd krytyczny- niezgodne z dokumentacją użytkową lub wymaganiami Zamawiającego, z instrukcjami lub innymi dokumentami wytworzonymi w czasie wdrożenia działanie Oprogramowania; </w:t>
      </w:r>
    </w:p>
    <w:p w:rsidR="00703B53" w:rsidRPr="00703B53" w:rsidRDefault="00703B53" w:rsidP="00703B53">
      <w:pPr>
        <w:pStyle w:val="Akapitzlist"/>
        <w:widowControl w:val="0"/>
        <w:numPr>
          <w:ilvl w:val="0"/>
          <w:numId w:val="6"/>
        </w:numPr>
        <w:pBdr>
          <w:top w:val="nil"/>
          <w:left w:val="nil"/>
          <w:bottom w:val="nil"/>
          <w:right w:val="nil"/>
          <w:between w:val="nil"/>
        </w:pBdr>
        <w:spacing w:after="0" w:line="240" w:lineRule="auto"/>
        <w:ind w:right="50"/>
        <w:jc w:val="both"/>
        <w:rPr>
          <w:rFonts w:ascii="Arial" w:hAnsi="Arial" w:cs="Arial"/>
          <w:sz w:val="24"/>
          <w:szCs w:val="24"/>
        </w:rPr>
      </w:pPr>
      <w:r w:rsidRPr="00703B53">
        <w:rPr>
          <w:rFonts w:ascii="Arial" w:hAnsi="Arial" w:cs="Arial"/>
          <w:color w:val="000000"/>
          <w:sz w:val="24"/>
          <w:szCs w:val="24"/>
        </w:rPr>
        <w:t xml:space="preserve">Wada - zakłócenie działania Oprogramowania polegające na nienależytym działaniu jego części, nie ograniczające działania całego Oprogramowania, nie mające istotnego wpływu na </w:t>
      </w:r>
      <w:r w:rsidRPr="00703B53">
        <w:rPr>
          <w:rFonts w:ascii="Arial" w:hAnsi="Arial" w:cs="Arial"/>
          <w:sz w:val="24"/>
          <w:szCs w:val="24"/>
        </w:rPr>
        <w:t xml:space="preserve">zastosowanie Oprogramowania i nie będące awarią lub błędem. </w:t>
      </w:r>
    </w:p>
    <w:p w:rsidR="00703B53" w:rsidRPr="00703B53" w:rsidRDefault="00703B53" w:rsidP="00703B53">
      <w:pPr>
        <w:pStyle w:val="Akapitzlist"/>
        <w:widowControl w:val="0"/>
        <w:numPr>
          <w:ilvl w:val="0"/>
          <w:numId w:val="5"/>
        </w:numPr>
        <w:pBdr>
          <w:top w:val="nil"/>
          <w:left w:val="nil"/>
          <w:bottom w:val="nil"/>
          <w:right w:val="nil"/>
          <w:between w:val="nil"/>
        </w:pBdr>
        <w:spacing w:after="0" w:line="240" w:lineRule="auto"/>
        <w:ind w:left="360" w:right="46"/>
        <w:jc w:val="both"/>
        <w:rPr>
          <w:rFonts w:ascii="Arial" w:hAnsi="Arial" w:cs="Arial"/>
          <w:sz w:val="24"/>
          <w:szCs w:val="24"/>
        </w:rPr>
      </w:pPr>
      <w:r w:rsidRPr="00703B53">
        <w:rPr>
          <w:rFonts w:ascii="Arial" w:hAnsi="Arial" w:cs="Arial"/>
          <w:sz w:val="24"/>
          <w:szCs w:val="24"/>
        </w:rPr>
        <w:t xml:space="preserve">Wykonawca zobowiązany do reakcji serwisu w przypadku awarii krytycznych, błędów krytycznych i wad co najmniej w następujących terminach: </w:t>
      </w:r>
    </w:p>
    <w:p w:rsidR="00703B53" w:rsidRPr="00703B53" w:rsidRDefault="00703B53" w:rsidP="00703B53">
      <w:pPr>
        <w:pStyle w:val="Akapitzlist"/>
        <w:widowControl w:val="0"/>
        <w:numPr>
          <w:ilvl w:val="0"/>
          <w:numId w:val="18"/>
        </w:numPr>
        <w:pBdr>
          <w:top w:val="nil"/>
          <w:left w:val="nil"/>
          <w:bottom w:val="nil"/>
          <w:right w:val="nil"/>
          <w:between w:val="nil"/>
        </w:pBdr>
        <w:spacing w:after="0" w:line="240" w:lineRule="auto"/>
        <w:rPr>
          <w:rFonts w:ascii="Arial" w:hAnsi="Arial" w:cs="Arial"/>
          <w:sz w:val="24"/>
          <w:szCs w:val="24"/>
        </w:rPr>
      </w:pPr>
      <w:r w:rsidRPr="00703B53">
        <w:rPr>
          <w:rFonts w:ascii="Arial" w:hAnsi="Arial" w:cs="Arial"/>
          <w:sz w:val="24"/>
          <w:szCs w:val="24"/>
        </w:rPr>
        <w:t xml:space="preserve">Awaria krytyczna w terminie do 24 godzin od przyjęcia zgłoszenia przez Wykonawcę </w:t>
      </w:r>
    </w:p>
    <w:p w:rsidR="00703B53" w:rsidRPr="00703B53" w:rsidRDefault="00703B53" w:rsidP="00703B53">
      <w:pPr>
        <w:pStyle w:val="Akapitzlist"/>
        <w:widowControl w:val="0"/>
        <w:numPr>
          <w:ilvl w:val="0"/>
          <w:numId w:val="18"/>
        </w:numPr>
        <w:pBdr>
          <w:top w:val="nil"/>
          <w:left w:val="nil"/>
          <w:bottom w:val="nil"/>
          <w:right w:val="nil"/>
          <w:between w:val="nil"/>
        </w:pBdr>
        <w:spacing w:after="0" w:line="240" w:lineRule="auto"/>
        <w:rPr>
          <w:rFonts w:ascii="Arial" w:hAnsi="Arial" w:cs="Arial"/>
          <w:sz w:val="24"/>
          <w:szCs w:val="24"/>
        </w:rPr>
      </w:pPr>
      <w:r w:rsidRPr="00703B53">
        <w:rPr>
          <w:rFonts w:ascii="Arial" w:hAnsi="Arial" w:cs="Arial"/>
          <w:sz w:val="24"/>
          <w:szCs w:val="24"/>
        </w:rPr>
        <w:t xml:space="preserve">Błąd krytyczny w terminie do 72 godzin od przyjęcia zgłoszenia przez Wykonawcę </w:t>
      </w:r>
    </w:p>
    <w:p w:rsidR="00703B53" w:rsidRPr="00703B53" w:rsidRDefault="00703B53" w:rsidP="00703B53">
      <w:pPr>
        <w:pStyle w:val="Akapitzlist"/>
        <w:widowControl w:val="0"/>
        <w:numPr>
          <w:ilvl w:val="0"/>
          <w:numId w:val="18"/>
        </w:numPr>
        <w:pBdr>
          <w:top w:val="nil"/>
          <w:left w:val="nil"/>
          <w:bottom w:val="nil"/>
          <w:right w:val="nil"/>
          <w:between w:val="nil"/>
        </w:pBdr>
        <w:spacing w:after="0" w:line="240" w:lineRule="auto"/>
        <w:rPr>
          <w:rFonts w:ascii="Arial" w:hAnsi="Arial" w:cs="Arial"/>
          <w:sz w:val="24"/>
          <w:szCs w:val="24"/>
        </w:rPr>
      </w:pPr>
      <w:r w:rsidRPr="00703B53">
        <w:rPr>
          <w:rFonts w:ascii="Arial" w:hAnsi="Arial" w:cs="Arial"/>
          <w:sz w:val="24"/>
          <w:szCs w:val="24"/>
        </w:rPr>
        <w:t>Wady w terminie do 8 dni roboczych od przyjęcia zgłoszenia przez Wykonawcę</w:t>
      </w:r>
    </w:p>
    <w:p w:rsidR="00703B53" w:rsidRPr="00703B53" w:rsidRDefault="00703B53" w:rsidP="00703B53">
      <w:pPr>
        <w:widowControl w:val="0"/>
        <w:pBdr>
          <w:top w:val="nil"/>
          <w:left w:val="nil"/>
          <w:bottom w:val="nil"/>
          <w:right w:val="nil"/>
          <w:between w:val="nil"/>
        </w:pBdr>
        <w:jc w:val="both"/>
        <w:rPr>
          <w:rFonts w:ascii="Arial" w:hAnsi="Arial" w:cs="Arial"/>
          <w:b/>
          <w:bCs/>
          <w:sz w:val="24"/>
        </w:rPr>
      </w:pPr>
    </w:p>
    <w:p w:rsidR="00703B53" w:rsidRPr="00703B53" w:rsidRDefault="00703B53" w:rsidP="00703B53">
      <w:pPr>
        <w:spacing w:line="276" w:lineRule="auto"/>
        <w:jc w:val="both"/>
        <w:rPr>
          <w:rFonts w:ascii="Arial" w:hAnsi="Arial" w:cs="Arial"/>
          <w:b/>
          <w:bCs/>
          <w:sz w:val="24"/>
        </w:rPr>
      </w:pPr>
      <w:r w:rsidRPr="00703B53">
        <w:rPr>
          <w:rFonts w:ascii="Arial" w:hAnsi="Arial" w:cs="Arial"/>
          <w:b/>
          <w:bCs/>
          <w:sz w:val="24"/>
        </w:rPr>
        <w:t>Rozbudowa i modernizacja użytkowanego Systemu Elektronicznego Zarządzania Dokumentacją (EZD) w celu realizacji zadań wynikających z instrukcji kancelaryjnej obejmującą integrację z e-Nadawcą Poczty Polskiej oraz platformą eFaktura.gov.pl wraz z wdrożeniem i instruktażem dla Użytkowników</w:t>
      </w:r>
    </w:p>
    <w:p w:rsidR="00703B53" w:rsidRPr="00703B53" w:rsidRDefault="00703B53" w:rsidP="00703B53">
      <w:pPr>
        <w:rPr>
          <w:rFonts w:ascii="Arial" w:hAnsi="Arial" w:cs="Arial"/>
          <w:b/>
          <w:bCs/>
          <w:sz w:val="24"/>
        </w:rPr>
      </w:pPr>
    </w:p>
    <w:p w:rsidR="00703B53" w:rsidRPr="00703B53" w:rsidRDefault="00703B53" w:rsidP="00703B53">
      <w:pPr>
        <w:tabs>
          <w:tab w:val="left" w:pos="851"/>
        </w:tabs>
        <w:jc w:val="both"/>
        <w:rPr>
          <w:rFonts w:ascii="Arial" w:hAnsi="Arial" w:cs="Arial"/>
          <w:b/>
          <w:sz w:val="24"/>
        </w:rPr>
      </w:pPr>
      <w:r w:rsidRPr="00703B53">
        <w:rPr>
          <w:rFonts w:ascii="Arial" w:hAnsi="Arial" w:cs="Arial"/>
          <w:b/>
          <w:sz w:val="24"/>
        </w:rPr>
        <w:lastRenderedPageBreak/>
        <w:t>Integracja Systemu EZD z systemem Elektroniczny Nadawca (EN) Poczty Polskiej SA (PP):</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 xml:space="preserve">Aplikacja musi mieć możliwość integracji z systemem EN. </w:t>
      </w:r>
      <w:r w:rsidRPr="00703B53">
        <w:rPr>
          <w:rFonts w:ascii="Arial" w:eastAsia="Calibri" w:hAnsi="Arial" w:cs="Arial"/>
          <w:sz w:val="24"/>
          <w:lang w:val="x-none"/>
        </w:rPr>
        <w:t>Zakres integracji to co najmniej:</w:t>
      </w:r>
    </w:p>
    <w:p w:rsidR="00703B53" w:rsidRPr="00703B53" w:rsidRDefault="00703B53" w:rsidP="00703B53">
      <w:pPr>
        <w:numPr>
          <w:ilvl w:val="1"/>
          <w:numId w:val="9"/>
        </w:numPr>
        <w:jc w:val="both"/>
        <w:rPr>
          <w:rFonts w:ascii="Arial" w:eastAsia="Calibri" w:hAnsi="Arial" w:cs="Arial"/>
          <w:sz w:val="24"/>
          <w:lang w:val="x-none"/>
        </w:rPr>
      </w:pPr>
      <w:r w:rsidRPr="00703B53">
        <w:rPr>
          <w:rFonts w:ascii="Arial" w:eastAsia="Calibri" w:hAnsi="Arial" w:cs="Arial"/>
          <w:sz w:val="24"/>
        </w:rPr>
        <w:t xml:space="preserve">Alternatywnie, uzależnione od konfiguracji EZD, 2 sposoby wstępnego przekazywania </w:t>
      </w:r>
      <w:r w:rsidRPr="00703B53">
        <w:rPr>
          <w:rFonts w:ascii="Arial" w:eastAsia="Calibri" w:hAnsi="Arial" w:cs="Arial"/>
          <w:sz w:val="24"/>
          <w:lang w:val="x-none"/>
        </w:rPr>
        <w:t>z EZD do EN</w:t>
      </w:r>
      <w:r w:rsidRPr="00703B53">
        <w:rPr>
          <w:rFonts w:ascii="Arial" w:eastAsia="Calibri" w:hAnsi="Arial" w:cs="Arial"/>
          <w:sz w:val="24"/>
        </w:rPr>
        <w:t xml:space="preserve"> </w:t>
      </w:r>
      <w:r w:rsidRPr="00703B53">
        <w:rPr>
          <w:rFonts w:ascii="Arial" w:eastAsia="Calibri" w:hAnsi="Arial" w:cs="Arial"/>
          <w:sz w:val="24"/>
          <w:lang w:val="x-none"/>
        </w:rPr>
        <w:t>przesył</w:t>
      </w:r>
      <w:r w:rsidRPr="00703B53">
        <w:rPr>
          <w:rFonts w:ascii="Arial" w:eastAsia="Calibri" w:hAnsi="Arial" w:cs="Arial"/>
          <w:sz w:val="24"/>
        </w:rPr>
        <w:t>ek</w:t>
      </w:r>
      <w:r w:rsidRPr="00703B53">
        <w:rPr>
          <w:rFonts w:ascii="Arial" w:eastAsia="Calibri" w:hAnsi="Arial" w:cs="Arial"/>
          <w:sz w:val="24"/>
          <w:lang w:val="x-none"/>
        </w:rPr>
        <w:t xml:space="preserve"> wychodząc</w:t>
      </w:r>
      <w:r w:rsidRPr="00703B53">
        <w:rPr>
          <w:rFonts w:ascii="Arial" w:eastAsia="Calibri" w:hAnsi="Arial" w:cs="Arial"/>
          <w:sz w:val="24"/>
        </w:rPr>
        <w:t>ych:</w:t>
      </w:r>
    </w:p>
    <w:p w:rsidR="00703B53" w:rsidRPr="00703B53" w:rsidRDefault="00703B53" w:rsidP="00703B53">
      <w:pPr>
        <w:numPr>
          <w:ilvl w:val="2"/>
          <w:numId w:val="7"/>
        </w:numPr>
        <w:ind w:left="1418" w:hanging="295"/>
        <w:jc w:val="both"/>
        <w:rPr>
          <w:rFonts w:ascii="Arial" w:eastAsia="Calibri" w:hAnsi="Arial" w:cs="Arial"/>
          <w:sz w:val="24"/>
          <w:lang w:val="x-none"/>
        </w:rPr>
      </w:pPr>
      <w:r w:rsidRPr="00703B53">
        <w:rPr>
          <w:rFonts w:ascii="Arial" w:eastAsia="Calibri" w:hAnsi="Arial" w:cs="Arial"/>
          <w:sz w:val="24"/>
        </w:rPr>
        <w:t>Wstępne przekazywanie</w:t>
      </w:r>
      <w:r w:rsidRPr="00703B53">
        <w:rPr>
          <w:rFonts w:ascii="Arial" w:eastAsia="Calibri" w:hAnsi="Arial" w:cs="Arial"/>
          <w:sz w:val="24"/>
          <w:lang w:val="x-none"/>
        </w:rPr>
        <w:t xml:space="preserve"> z EZD do EN </w:t>
      </w:r>
      <w:r w:rsidRPr="00703B53">
        <w:rPr>
          <w:rFonts w:ascii="Arial" w:eastAsia="Calibri" w:hAnsi="Arial" w:cs="Arial"/>
          <w:sz w:val="24"/>
        </w:rPr>
        <w:t xml:space="preserve">w sposób automatyczny (w tle), </w:t>
      </w:r>
      <w:r w:rsidRPr="00703B53">
        <w:rPr>
          <w:rFonts w:ascii="Arial" w:eastAsia="Calibri" w:hAnsi="Arial" w:cs="Arial"/>
          <w:sz w:val="24"/>
          <w:lang w:val="x-none"/>
        </w:rPr>
        <w:t xml:space="preserve"> przesył</w:t>
      </w:r>
      <w:r w:rsidRPr="00703B53">
        <w:rPr>
          <w:rFonts w:ascii="Arial" w:eastAsia="Calibri" w:hAnsi="Arial" w:cs="Arial"/>
          <w:sz w:val="24"/>
        </w:rPr>
        <w:t>ek</w:t>
      </w:r>
      <w:r w:rsidRPr="00703B53">
        <w:rPr>
          <w:rFonts w:ascii="Arial" w:eastAsia="Calibri" w:hAnsi="Arial" w:cs="Arial"/>
          <w:sz w:val="24"/>
          <w:lang w:val="x-none"/>
        </w:rPr>
        <w:t xml:space="preserve"> wychodząc</w:t>
      </w:r>
      <w:r w:rsidRPr="00703B53">
        <w:rPr>
          <w:rFonts w:ascii="Arial" w:eastAsia="Calibri" w:hAnsi="Arial" w:cs="Arial"/>
          <w:sz w:val="24"/>
        </w:rPr>
        <w:t>ych</w:t>
      </w:r>
      <w:r w:rsidRPr="00703B53">
        <w:rPr>
          <w:rFonts w:ascii="Arial" w:eastAsia="Calibri" w:hAnsi="Arial" w:cs="Arial"/>
          <w:sz w:val="24"/>
          <w:lang w:val="x-none"/>
        </w:rPr>
        <w:t>, po ich wprowadzeniu do rejestru przesyłek wychodzących w EZD</w:t>
      </w:r>
      <w:r w:rsidRPr="00703B53">
        <w:rPr>
          <w:rFonts w:ascii="Arial" w:eastAsia="Calibri" w:hAnsi="Arial" w:cs="Arial"/>
          <w:sz w:val="24"/>
        </w:rPr>
        <w:t xml:space="preserve"> w formie doręczenia skojarzonej z usługą PP.</w:t>
      </w:r>
    </w:p>
    <w:p w:rsidR="00703B53" w:rsidRPr="00703B53" w:rsidRDefault="00703B53" w:rsidP="00703B53">
      <w:pPr>
        <w:numPr>
          <w:ilvl w:val="2"/>
          <w:numId w:val="7"/>
        </w:numPr>
        <w:ind w:left="1418" w:hanging="295"/>
        <w:jc w:val="both"/>
        <w:rPr>
          <w:rFonts w:ascii="Arial" w:eastAsia="Calibri" w:hAnsi="Arial" w:cs="Arial"/>
          <w:sz w:val="24"/>
          <w:lang w:val="x-none"/>
        </w:rPr>
      </w:pPr>
      <w:r w:rsidRPr="00703B53">
        <w:rPr>
          <w:rFonts w:ascii="Arial" w:eastAsia="Calibri" w:hAnsi="Arial" w:cs="Arial"/>
          <w:sz w:val="24"/>
        </w:rPr>
        <w:t>Wstępne przekazywanie</w:t>
      </w:r>
      <w:r w:rsidRPr="00703B53">
        <w:rPr>
          <w:rFonts w:ascii="Arial" w:eastAsia="Calibri" w:hAnsi="Arial" w:cs="Arial"/>
          <w:sz w:val="24"/>
          <w:lang w:val="x-none"/>
        </w:rPr>
        <w:t xml:space="preserve"> z EZD do EN</w:t>
      </w:r>
      <w:r w:rsidRPr="00703B53">
        <w:rPr>
          <w:rFonts w:ascii="Arial" w:eastAsia="Calibri" w:hAnsi="Arial" w:cs="Arial"/>
          <w:sz w:val="24"/>
        </w:rPr>
        <w:t xml:space="preserve">, ręcznie na żądanie użytkownika, pojedynczych </w:t>
      </w:r>
      <w:r w:rsidRPr="00703B53">
        <w:rPr>
          <w:rFonts w:ascii="Arial" w:eastAsia="Calibri" w:hAnsi="Arial" w:cs="Arial"/>
          <w:sz w:val="24"/>
          <w:lang w:val="x-none"/>
        </w:rPr>
        <w:t>przesył</w:t>
      </w:r>
      <w:r w:rsidRPr="00703B53">
        <w:rPr>
          <w:rFonts w:ascii="Arial" w:eastAsia="Calibri" w:hAnsi="Arial" w:cs="Arial"/>
          <w:sz w:val="24"/>
        </w:rPr>
        <w:t>ek</w:t>
      </w:r>
      <w:r w:rsidRPr="00703B53">
        <w:rPr>
          <w:rFonts w:ascii="Arial" w:eastAsia="Calibri" w:hAnsi="Arial" w:cs="Arial"/>
          <w:sz w:val="24"/>
          <w:lang w:val="x-none"/>
        </w:rPr>
        <w:t xml:space="preserve"> wychodząc</w:t>
      </w:r>
      <w:r w:rsidRPr="00703B53">
        <w:rPr>
          <w:rFonts w:ascii="Arial" w:eastAsia="Calibri" w:hAnsi="Arial" w:cs="Arial"/>
          <w:sz w:val="24"/>
        </w:rPr>
        <w:t>ych</w:t>
      </w:r>
      <w:r w:rsidRPr="00703B53">
        <w:rPr>
          <w:rFonts w:ascii="Arial" w:eastAsia="Calibri" w:hAnsi="Arial" w:cs="Arial"/>
          <w:sz w:val="24"/>
          <w:lang w:val="x-none"/>
        </w:rPr>
        <w:t>, po ich wprowadzeniu do rejestru przesyłek wychodzących w EZD</w:t>
      </w:r>
      <w:r w:rsidRPr="00703B53">
        <w:rPr>
          <w:rFonts w:ascii="Arial" w:eastAsia="Calibri" w:hAnsi="Arial" w:cs="Arial"/>
          <w:sz w:val="24"/>
        </w:rPr>
        <w:t xml:space="preserve"> w formie doręczenia skojarzonej z usługą PP.</w:t>
      </w:r>
    </w:p>
    <w:p w:rsidR="00703B53" w:rsidRPr="00703B53" w:rsidRDefault="00703B53" w:rsidP="00703B53">
      <w:pPr>
        <w:numPr>
          <w:ilvl w:val="1"/>
          <w:numId w:val="9"/>
        </w:numPr>
        <w:jc w:val="both"/>
        <w:rPr>
          <w:rFonts w:ascii="Arial" w:eastAsia="Calibri" w:hAnsi="Arial" w:cs="Arial"/>
          <w:sz w:val="24"/>
        </w:rPr>
      </w:pPr>
      <w:r w:rsidRPr="00703B53">
        <w:rPr>
          <w:rFonts w:ascii="Arial" w:eastAsia="Calibri" w:hAnsi="Arial" w:cs="Arial"/>
          <w:sz w:val="24"/>
        </w:rPr>
        <w:t>Pobieranie z EN identyfikatorów przesyłek oraz numerów nadawczych, właściwych dla przekazanych wstępnie przesyłek wychodzących.</w:t>
      </w:r>
    </w:p>
    <w:p w:rsidR="00703B53" w:rsidRPr="00703B53" w:rsidRDefault="00703B53" w:rsidP="00703B53">
      <w:pPr>
        <w:numPr>
          <w:ilvl w:val="1"/>
          <w:numId w:val="9"/>
        </w:numPr>
        <w:jc w:val="both"/>
        <w:rPr>
          <w:rFonts w:ascii="Arial" w:eastAsia="Calibri" w:hAnsi="Arial" w:cs="Arial"/>
          <w:sz w:val="24"/>
        </w:rPr>
      </w:pPr>
      <w:r w:rsidRPr="00703B53">
        <w:rPr>
          <w:rFonts w:ascii="Arial" w:eastAsia="Calibri" w:hAnsi="Arial" w:cs="Arial"/>
          <w:sz w:val="24"/>
        </w:rPr>
        <w:t>Wycofywanie z EN uprzednio wstępnie przekazanych pojedynczych przesyłek wychodzących.</w:t>
      </w:r>
    </w:p>
    <w:p w:rsidR="00703B53" w:rsidRPr="00703B53" w:rsidRDefault="00703B53" w:rsidP="00703B53">
      <w:pPr>
        <w:numPr>
          <w:ilvl w:val="1"/>
          <w:numId w:val="9"/>
        </w:numPr>
        <w:jc w:val="both"/>
        <w:rPr>
          <w:rFonts w:ascii="Arial" w:eastAsia="Calibri" w:hAnsi="Arial" w:cs="Arial"/>
          <w:sz w:val="24"/>
        </w:rPr>
      </w:pPr>
      <w:r w:rsidRPr="00703B53">
        <w:rPr>
          <w:rFonts w:ascii="Arial" w:eastAsia="Calibri" w:hAnsi="Arial" w:cs="Arial"/>
          <w:sz w:val="24"/>
        </w:rPr>
        <w:t>Wstępne przekazywanie do EN uprzednio wycofanych pojedynczych przesyłek wychodzących.</w:t>
      </w:r>
    </w:p>
    <w:p w:rsidR="00703B53" w:rsidRPr="00703B53" w:rsidRDefault="00703B53" w:rsidP="00703B53">
      <w:pPr>
        <w:numPr>
          <w:ilvl w:val="1"/>
          <w:numId w:val="9"/>
        </w:numPr>
        <w:jc w:val="both"/>
        <w:rPr>
          <w:rFonts w:ascii="Arial" w:eastAsia="Calibri" w:hAnsi="Arial" w:cs="Arial"/>
          <w:sz w:val="24"/>
        </w:rPr>
      </w:pPr>
      <w:r w:rsidRPr="00703B53">
        <w:rPr>
          <w:rFonts w:ascii="Arial" w:eastAsia="Calibri" w:hAnsi="Arial" w:cs="Arial"/>
          <w:sz w:val="24"/>
        </w:rPr>
        <w:t>Zarządzanie z poziomu EZD obiektami w EN co najmniej w zakresie:</w:t>
      </w:r>
    </w:p>
    <w:p w:rsidR="00703B53" w:rsidRPr="00703B53" w:rsidRDefault="00703B53" w:rsidP="00703B53">
      <w:pPr>
        <w:numPr>
          <w:ilvl w:val="2"/>
          <w:numId w:val="7"/>
        </w:numPr>
        <w:ind w:left="1418" w:hanging="295"/>
        <w:jc w:val="both"/>
        <w:rPr>
          <w:rFonts w:ascii="Arial" w:eastAsia="Calibri" w:hAnsi="Arial" w:cs="Arial"/>
          <w:sz w:val="24"/>
        </w:rPr>
      </w:pPr>
      <w:r w:rsidRPr="00703B53">
        <w:rPr>
          <w:rFonts w:ascii="Arial" w:eastAsia="Calibri" w:hAnsi="Arial" w:cs="Arial"/>
          <w:sz w:val="24"/>
        </w:rPr>
        <w:t>hurtowego zwalniania wszystkich pakietów wstępnie przekazanych przesyłek wychodzących;</w:t>
      </w:r>
    </w:p>
    <w:p w:rsidR="00703B53" w:rsidRPr="00703B53" w:rsidRDefault="00703B53" w:rsidP="00703B53">
      <w:pPr>
        <w:numPr>
          <w:ilvl w:val="2"/>
          <w:numId w:val="7"/>
        </w:numPr>
        <w:ind w:left="1418" w:hanging="295"/>
        <w:jc w:val="both"/>
        <w:rPr>
          <w:rFonts w:ascii="Arial" w:eastAsia="Calibri" w:hAnsi="Arial" w:cs="Arial"/>
          <w:sz w:val="24"/>
        </w:rPr>
      </w:pPr>
      <w:r w:rsidRPr="00703B53">
        <w:rPr>
          <w:rFonts w:ascii="Arial" w:eastAsia="Calibri" w:hAnsi="Arial" w:cs="Arial"/>
          <w:sz w:val="24"/>
        </w:rPr>
        <w:t>hurtowego wstępnego przekazywania wszystkich przesyłek wychodzących o formie doręczenia skojarzonej z usługą PP;</w:t>
      </w:r>
    </w:p>
    <w:p w:rsidR="00703B53" w:rsidRPr="00703B53" w:rsidRDefault="00703B53" w:rsidP="00703B53">
      <w:pPr>
        <w:numPr>
          <w:ilvl w:val="2"/>
          <w:numId w:val="7"/>
        </w:numPr>
        <w:ind w:left="1418" w:hanging="295"/>
        <w:jc w:val="both"/>
        <w:rPr>
          <w:rFonts w:ascii="Arial" w:eastAsia="Calibri" w:hAnsi="Arial" w:cs="Arial"/>
          <w:sz w:val="24"/>
        </w:rPr>
      </w:pPr>
      <w:r w:rsidRPr="00703B53">
        <w:rPr>
          <w:rFonts w:ascii="Arial" w:eastAsia="Calibri" w:hAnsi="Arial" w:cs="Arial"/>
          <w:sz w:val="24"/>
        </w:rPr>
        <w:t>hurtowego ostatecznego przekazywania do Urzędu Pocztowego wszystkich wstępnie przekazanych do EN przesyłek wychodzących.</w:t>
      </w:r>
    </w:p>
    <w:p w:rsidR="00703B53" w:rsidRPr="00703B53" w:rsidRDefault="00703B53" w:rsidP="00703B53">
      <w:pPr>
        <w:numPr>
          <w:ilvl w:val="1"/>
          <w:numId w:val="9"/>
        </w:numPr>
        <w:jc w:val="both"/>
        <w:rPr>
          <w:rFonts w:ascii="Arial" w:eastAsia="Calibri" w:hAnsi="Arial" w:cs="Arial"/>
          <w:sz w:val="24"/>
        </w:rPr>
      </w:pPr>
      <w:r w:rsidRPr="00703B53">
        <w:rPr>
          <w:rFonts w:ascii="Arial" w:eastAsia="Calibri" w:hAnsi="Arial" w:cs="Arial"/>
          <w:sz w:val="24"/>
        </w:rPr>
        <w:t>Pobieranie z EN pocztowych książek nadawczych dotyczących przesyłek przekazanych do Urzędu Pocztowego.</w:t>
      </w:r>
    </w:p>
    <w:p w:rsidR="00703B53" w:rsidRPr="00703B53" w:rsidRDefault="00703B53" w:rsidP="00703B53">
      <w:pPr>
        <w:ind w:left="720"/>
        <w:jc w:val="both"/>
        <w:rPr>
          <w:rFonts w:ascii="Arial" w:eastAsia="Calibri" w:hAnsi="Arial" w:cs="Arial"/>
          <w:sz w:val="24"/>
        </w:rPr>
      </w:pPr>
      <w:r w:rsidRPr="00703B53">
        <w:rPr>
          <w:rFonts w:ascii="Arial" w:eastAsia="Calibri" w:hAnsi="Arial" w:cs="Arial"/>
          <w:sz w:val="24"/>
        </w:rPr>
        <w:t>Przedmiotem zamówienia jest uruchomienie integracji aplikacji z EN po dostarczeniu przez Zamawiającego wszystkich niezbędnych danych.</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Wstępne przekazywanie w sposób automatyczny przesyłek wychodzących do EN musi odbywać się, regularnie (cyklicznie) co określony w ustaleniach z Zamawiającym odstęp czasu.</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Wycofywanie z EN uprzednio wstępnie przekazanych pojedynczych przesyłek wychodzących, musi się odbywać na żądanie użytkownika, po wskazaniu przesyłki w rejestrze przesyłek wychodzących.</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Wstępne przekazywanie pojedynczych przesyłek wychodzących, uprzednio wycofanych musi się odbywać na żądanie użytkownika, po wskazaniu przesyłki w rejestrze przesyłek wychodzących.</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Zarządzanie obiektami w EN, polegające na hurtowym ostatecznym przekazaniu do Urzędu Pocztowego wszystkich wstępnie przekazanych do EN przesyłek wychodzących ma być dostępne dla uprawnionego użytkownika.</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 xml:space="preserve">Zarządzanie obiektami w EN, polegające na hurtowym wstępnym przekazaniu wszystkich przesyłek wychodzących o formie doręczenia skojarzonej z usługą PP </w:t>
      </w:r>
      <w:r w:rsidRPr="00703B53">
        <w:rPr>
          <w:rFonts w:ascii="Arial" w:eastAsia="Calibri" w:hAnsi="Arial" w:cs="Arial"/>
          <w:sz w:val="24"/>
        </w:rPr>
        <w:lastRenderedPageBreak/>
        <w:t>oraz zwalnianiu wszystkich pakietów wstępnie przekazanych przesyłek wychodzących ma być dostępne dla administratora.</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Hurtowe operacje wykonywane na żądanie użytkownika, na obiektach w EN mają skutkować m.in. wyświetlaniem informacji (monitów) o skutkach operacji oraz mają wymagać potwierdzenia przez użytkownika.</w:t>
      </w:r>
    </w:p>
    <w:p w:rsidR="00703B53" w:rsidRPr="00703B53" w:rsidRDefault="00703B53" w:rsidP="00703B53">
      <w:pPr>
        <w:numPr>
          <w:ilvl w:val="0"/>
          <w:numId w:val="8"/>
        </w:numPr>
        <w:jc w:val="both"/>
        <w:rPr>
          <w:rFonts w:ascii="Arial" w:eastAsia="Calibri" w:hAnsi="Arial" w:cs="Arial"/>
          <w:sz w:val="24"/>
        </w:rPr>
      </w:pPr>
      <w:r w:rsidRPr="00703B53">
        <w:rPr>
          <w:rFonts w:ascii="Arial" w:eastAsia="Calibri" w:hAnsi="Arial" w:cs="Arial"/>
          <w:sz w:val="24"/>
        </w:rPr>
        <w:t>Przekazywanie z EZD do EN przesyłek wychodzących ma być realizowane w ramach i zgodnie z usługami Poczty Polskiej SA, dostępnymi do wykorzystania w ramach usługi serwowanej przez EN.</w:t>
      </w:r>
    </w:p>
    <w:p w:rsidR="00703B53" w:rsidRPr="00703B53" w:rsidRDefault="00703B53" w:rsidP="00703B53">
      <w:pPr>
        <w:tabs>
          <w:tab w:val="left" w:pos="851"/>
        </w:tabs>
        <w:jc w:val="both"/>
        <w:rPr>
          <w:rFonts w:ascii="Arial" w:hAnsi="Arial" w:cs="Arial"/>
          <w:b/>
          <w:sz w:val="24"/>
        </w:rPr>
      </w:pPr>
    </w:p>
    <w:p w:rsidR="00703B53" w:rsidRPr="00703B53" w:rsidRDefault="00703B53" w:rsidP="00703B53">
      <w:pPr>
        <w:tabs>
          <w:tab w:val="left" w:pos="851"/>
        </w:tabs>
        <w:jc w:val="both"/>
        <w:rPr>
          <w:rFonts w:ascii="Arial" w:hAnsi="Arial" w:cs="Arial"/>
          <w:b/>
          <w:sz w:val="24"/>
        </w:rPr>
      </w:pPr>
      <w:r w:rsidRPr="00703B53">
        <w:rPr>
          <w:rFonts w:ascii="Arial" w:hAnsi="Arial" w:cs="Arial"/>
          <w:b/>
          <w:sz w:val="24"/>
        </w:rPr>
        <w:t>Integracja Systemu EZD z systemem elektronicznego fakturowania PEF</w:t>
      </w:r>
    </w:p>
    <w:p w:rsidR="00703B53" w:rsidRPr="00703B53" w:rsidRDefault="00703B53" w:rsidP="00703B53">
      <w:pPr>
        <w:numPr>
          <w:ilvl w:val="0"/>
          <w:numId w:val="10"/>
        </w:numPr>
        <w:ind w:left="357" w:hanging="357"/>
        <w:jc w:val="both"/>
        <w:rPr>
          <w:rFonts w:ascii="Arial" w:eastAsia="Calibri" w:hAnsi="Arial" w:cs="Arial"/>
          <w:sz w:val="24"/>
        </w:rPr>
      </w:pPr>
      <w:r w:rsidRPr="00703B53">
        <w:rPr>
          <w:rFonts w:ascii="Arial" w:eastAsia="Calibri" w:hAnsi="Arial" w:cs="Arial"/>
          <w:sz w:val="24"/>
        </w:rPr>
        <w:t>EZD musi zostać zintegrowany z rządową platformą PEF umożliwiając automatyczne pobieranie faktur oraz innych dokumentów ustrukturyzowanych bez względu na Brokera PEF obsługującego Zamawiającego</w:t>
      </w:r>
    </w:p>
    <w:p w:rsidR="00703B53" w:rsidRPr="00703B53" w:rsidRDefault="00703B53" w:rsidP="00703B53">
      <w:pPr>
        <w:numPr>
          <w:ilvl w:val="0"/>
          <w:numId w:val="10"/>
        </w:numPr>
        <w:ind w:left="357" w:hanging="357"/>
        <w:jc w:val="both"/>
        <w:rPr>
          <w:rFonts w:ascii="Arial" w:eastAsia="Calibri" w:hAnsi="Arial" w:cs="Arial"/>
          <w:sz w:val="24"/>
        </w:rPr>
      </w:pPr>
      <w:r w:rsidRPr="00703B53">
        <w:rPr>
          <w:rFonts w:ascii="Arial" w:eastAsia="Calibri" w:hAnsi="Arial" w:cs="Arial"/>
          <w:sz w:val="24"/>
        </w:rPr>
        <w:t>System EZD po pobraniu dokumentu z platformy PEF nie może jej automatycznie usuwać – dokument musi pozostać na platformie PEF przez minimum 7 dni</w:t>
      </w:r>
    </w:p>
    <w:p w:rsidR="00703B53" w:rsidRPr="00703B53" w:rsidRDefault="00703B53" w:rsidP="00703B53">
      <w:pPr>
        <w:numPr>
          <w:ilvl w:val="0"/>
          <w:numId w:val="10"/>
        </w:numPr>
        <w:ind w:left="357" w:hanging="357"/>
        <w:jc w:val="both"/>
        <w:rPr>
          <w:rFonts w:ascii="Arial" w:eastAsia="Calibri" w:hAnsi="Arial" w:cs="Arial"/>
          <w:sz w:val="24"/>
        </w:rPr>
      </w:pPr>
      <w:r w:rsidRPr="00703B53">
        <w:rPr>
          <w:rFonts w:ascii="Arial" w:eastAsia="Calibri" w:hAnsi="Arial" w:cs="Arial"/>
          <w:sz w:val="24"/>
        </w:rPr>
        <w:t xml:space="preserve">System EZD musi umożliwiać możliwość dokonanie wyboru pomiędzy dwoma oficjalnymi Brokerami: Infinite IT Solutions lub </w:t>
      </w:r>
      <w:proofErr w:type="spellStart"/>
      <w:r w:rsidRPr="00703B53">
        <w:rPr>
          <w:rFonts w:ascii="Arial" w:eastAsia="Calibri" w:hAnsi="Arial" w:cs="Arial"/>
          <w:sz w:val="24"/>
        </w:rPr>
        <w:t>PEFexpert</w:t>
      </w:r>
      <w:proofErr w:type="spellEnd"/>
      <w:r w:rsidRPr="00703B53">
        <w:rPr>
          <w:rFonts w:ascii="Arial" w:eastAsia="Calibri" w:hAnsi="Arial" w:cs="Arial"/>
          <w:sz w:val="24"/>
        </w:rPr>
        <w:t xml:space="preserve"> </w:t>
      </w:r>
    </w:p>
    <w:p w:rsidR="00703B53" w:rsidRPr="00703B53" w:rsidRDefault="00703B53" w:rsidP="00703B53">
      <w:pPr>
        <w:numPr>
          <w:ilvl w:val="0"/>
          <w:numId w:val="10"/>
        </w:numPr>
        <w:ind w:left="357" w:hanging="357"/>
        <w:jc w:val="both"/>
        <w:rPr>
          <w:rFonts w:ascii="Arial" w:eastAsia="Calibri" w:hAnsi="Arial" w:cs="Arial"/>
          <w:sz w:val="24"/>
        </w:rPr>
      </w:pPr>
      <w:r w:rsidRPr="00703B53">
        <w:rPr>
          <w:rFonts w:ascii="Arial" w:eastAsia="Calibri" w:hAnsi="Arial" w:cs="Arial"/>
          <w:sz w:val="24"/>
        </w:rPr>
        <w:t xml:space="preserve">System EZD nie może wymagać od użytkownika logowania do platformy PEF. </w:t>
      </w:r>
    </w:p>
    <w:p w:rsidR="00703B53" w:rsidRPr="00703B53" w:rsidRDefault="00703B53" w:rsidP="00703B53">
      <w:pPr>
        <w:numPr>
          <w:ilvl w:val="0"/>
          <w:numId w:val="10"/>
        </w:numPr>
        <w:ind w:left="357" w:hanging="357"/>
        <w:jc w:val="both"/>
        <w:rPr>
          <w:rFonts w:ascii="Arial" w:eastAsia="Calibri" w:hAnsi="Arial" w:cs="Arial"/>
          <w:sz w:val="24"/>
        </w:rPr>
      </w:pPr>
      <w:r w:rsidRPr="00703B53">
        <w:rPr>
          <w:rFonts w:ascii="Arial" w:eastAsia="Calibri" w:hAnsi="Arial" w:cs="Arial"/>
          <w:sz w:val="24"/>
        </w:rPr>
        <w:t>Pobieranie dokumentów w platformy PEF musi przebiegać automatycznie tj. bez angażowania pracowników Zamawiającego w proces importu dokumentów</w:t>
      </w:r>
    </w:p>
    <w:p w:rsidR="00703B53" w:rsidRPr="00703B53" w:rsidRDefault="00703B53" w:rsidP="00703B53">
      <w:pPr>
        <w:jc w:val="both"/>
        <w:rPr>
          <w:rFonts w:ascii="Arial" w:eastAsia="Calibri" w:hAnsi="Arial" w:cs="Arial"/>
          <w:sz w:val="24"/>
        </w:rPr>
      </w:pPr>
    </w:p>
    <w:p w:rsidR="00703B53" w:rsidRPr="00703B53" w:rsidRDefault="00703B53" w:rsidP="00703B53">
      <w:pPr>
        <w:widowControl w:val="0"/>
        <w:pBdr>
          <w:top w:val="nil"/>
          <w:left w:val="nil"/>
          <w:bottom w:val="nil"/>
          <w:right w:val="nil"/>
          <w:between w:val="nil"/>
        </w:pBdr>
        <w:ind w:right="41"/>
        <w:jc w:val="both"/>
        <w:rPr>
          <w:rFonts w:ascii="Arial" w:hAnsi="Arial" w:cs="Arial"/>
          <w:b/>
          <w:color w:val="000000"/>
          <w:sz w:val="24"/>
        </w:rPr>
      </w:pPr>
      <w:r w:rsidRPr="00703B53">
        <w:rPr>
          <w:rFonts w:ascii="Arial" w:hAnsi="Arial" w:cs="Arial"/>
          <w:b/>
          <w:color w:val="000000"/>
          <w:sz w:val="24"/>
        </w:rPr>
        <w:t>Postanowienia końcowe</w:t>
      </w:r>
    </w:p>
    <w:p w:rsidR="00703B53" w:rsidRPr="00703B53" w:rsidRDefault="00703B53" w:rsidP="00703B53">
      <w:pPr>
        <w:widowControl w:val="0"/>
        <w:pBdr>
          <w:top w:val="nil"/>
          <w:left w:val="nil"/>
          <w:bottom w:val="nil"/>
          <w:right w:val="nil"/>
          <w:between w:val="nil"/>
        </w:pBdr>
        <w:rPr>
          <w:rFonts w:ascii="Arial" w:hAnsi="Arial" w:cs="Arial"/>
          <w:b/>
          <w:color w:val="000000"/>
          <w:sz w:val="24"/>
        </w:rPr>
      </w:pPr>
    </w:p>
    <w:p w:rsidR="00703B53" w:rsidRPr="00703B53" w:rsidRDefault="00703B53" w:rsidP="00703B53">
      <w:pPr>
        <w:widowControl w:val="0"/>
        <w:pBdr>
          <w:top w:val="nil"/>
          <w:left w:val="nil"/>
          <w:bottom w:val="nil"/>
          <w:right w:val="nil"/>
          <w:between w:val="nil"/>
        </w:pBdr>
        <w:spacing w:line="276" w:lineRule="auto"/>
        <w:ind w:firstLine="7"/>
        <w:jc w:val="both"/>
        <w:rPr>
          <w:rFonts w:ascii="Arial" w:eastAsia="Calibri" w:hAnsi="Arial" w:cs="Arial"/>
          <w:sz w:val="24"/>
        </w:rPr>
      </w:pPr>
      <w:r w:rsidRPr="00703B53">
        <w:rPr>
          <w:rFonts w:ascii="Arial" w:hAnsi="Arial" w:cs="Arial"/>
          <w:color w:val="000000"/>
          <w:sz w:val="24"/>
        </w:rPr>
        <w:t>Oferowane przez Wykonawcę rozwiązania muszą być na dzień odbioru zgodne z aktami prawnymi regulującymi pracę urzędów administracji publicznej oraz usług urzędowych realizowanych drogą elektroniczną.</w:t>
      </w:r>
    </w:p>
    <w:p w:rsidR="008760DB" w:rsidRPr="00703B53" w:rsidRDefault="0098541A" w:rsidP="008760DB">
      <w:pPr>
        <w:suppressAutoHyphens w:val="0"/>
        <w:rPr>
          <w:rFonts w:ascii="Arial" w:hAnsi="Arial" w:cs="Arial"/>
          <w:sz w:val="24"/>
        </w:rPr>
      </w:pPr>
      <w:r w:rsidRPr="00703B53">
        <w:rPr>
          <w:rFonts w:ascii="Arial" w:hAnsi="Arial" w:cs="Arial"/>
          <w:sz w:val="24"/>
          <w:lang w:eastAsia="pl-PL"/>
        </w:rPr>
        <w:br/>
      </w:r>
    </w:p>
    <w:p w:rsidR="00F5686B" w:rsidRPr="00703B53" w:rsidRDefault="00F5686B" w:rsidP="0098541A">
      <w:pPr>
        <w:pStyle w:val="Stopka"/>
        <w:tabs>
          <w:tab w:val="clear" w:pos="4536"/>
        </w:tabs>
        <w:jc w:val="center"/>
        <w:rPr>
          <w:rFonts w:ascii="Arial" w:hAnsi="Arial" w:cs="Arial"/>
          <w:sz w:val="24"/>
        </w:rPr>
      </w:pPr>
    </w:p>
    <w:sectPr w:rsidR="00F5686B" w:rsidRPr="00703B5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E4E" w:rsidRDefault="00B12E4E" w:rsidP="004631BC">
      <w:r>
        <w:separator/>
      </w:r>
    </w:p>
  </w:endnote>
  <w:endnote w:type="continuationSeparator" w:id="0">
    <w:p w:rsidR="00B12E4E" w:rsidRDefault="00B12E4E" w:rsidP="0046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E4E" w:rsidRDefault="00B12E4E" w:rsidP="004631BC">
      <w:r>
        <w:separator/>
      </w:r>
    </w:p>
  </w:footnote>
  <w:footnote w:type="continuationSeparator" w:id="0">
    <w:p w:rsidR="00B12E4E" w:rsidRDefault="00B12E4E" w:rsidP="00463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BC" w:rsidRDefault="00926B4E">
    <w:pPr>
      <w:pStyle w:val="Nagwek"/>
    </w:pPr>
    <w:r w:rsidRPr="002405D6">
      <w:rPr>
        <w:rFonts w:ascii="Arial Narrow" w:hAnsi="Arial Narrow"/>
        <w:noProof/>
        <w:sz w:val="18"/>
        <w:szCs w:val="18"/>
        <w:lang w:eastAsia="pl-PL"/>
      </w:rPr>
      <w:drawing>
        <wp:anchor distT="0" distB="0" distL="114300" distR="114300" simplePos="0" relativeHeight="251659264" behindDoc="0" locked="0" layoutInCell="1" allowOverlap="1" wp14:anchorId="2EDAD9F0" wp14:editId="1CE78E6D">
          <wp:simplePos x="0" y="0"/>
          <wp:positionH relativeFrom="column">
            <wp:posOffset>9525</wp:posOffset>
          </wp:positionH>
          <wp:positionV relativeFrom="paragraph">
            <wp:posOffset>-185420</wp:posOffset>
          </wp:positionV>
          <wp:extent cx="5600700" cy="628650"/>
          <wp:effectExtent l="1905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00700" cy="628650"/>
                  </a:xfrm>
                  <a:prstGeom prst="rect">
                    <a:avLst/>
                  </a:prstGeom>
                  <a:noFill/>
                  <a:ln w="9525">
                    <a:noFill/>
                    <a:miter lim="800000"/>
                    <a:headEnd/>
                    <a:tailEnd/>
                  </a:ln>
                </pic:spPr>
              </pic:pic>
            </a:graphicData>
          </a:graphic>
        </wp:anchor>
      </w:drawing>
    </w:r>
  </w:p>
  <w:p w:rsidR="004631BC" w:rsidRPr="00926B4E" w:rsidRDefault="001D437B" w:rsidP="00926B4E">
    <w:pPr>
      <w:pStyle w:val="Stopka"/>
      <w:tabs>
        <w:tab w:val="clear" w:pos="4536"/>
      </w:tabs>
      <w:jc w:val="center"/>
      <w:rPr>
        <w:rFonts w:ascii="Arial Narrow" w:hAnsi="Arial Narrow" w:cs="Arial"/>
        <w:sz w:val="20"/>
        <w:szCs w:val="18"/>
      </w:rPr>
    </w:pPr>
    <w:r>
      <w:rPr>
        <w:rFonts w:ascii="Arial Narrow" w:hAnsi="Arial Narrow" w:cs="Arial"/>
        <w:sz w:val="20"/>
        <w:szCs w:val="18"/>
      </w:rPr>
      <w:t xml:space="preserve">Projekt </w:t>
    </w:r>
    <w:r w:rsidR="00926B4E">
      <w:rPr>
        <w:rFonts w:ascii="Arial Narrow" w:hAnsi="Arial Narrow" w:cs="Arial"/>
        <w:sz w:val="20"/>
        <w:szCs w:val="18"/>
      </w:rPr>
      <w:t>finansowany w ramach umowy o powierzenie grantu o numerze 4091/2/2022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 numerze POPC.05.01.00-00-0001/21-00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564DA4"/>
    <w:multiLevelType w:val="hybridMultilevel"/>
    <w:tmpl w:val="E13097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00F2B"/>
    <w:multiLevelType w:val="multilevel"/>
    <w:tmpl w:val="12803D74"/>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5563F5"/>
    <w:multiLevelType w:val="hybridMultilevel"/>
    <w:tmpl w:val="645CAE80"/>
    <w:lvl w:ilvl="0" w:tplc="557CC89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750E35"/>
    <w:multiLevelType w:val="hybridMultilevel"/>
    <w:tmpl w:val="6A3E5B3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0116E9"/>
    <w:multiLevelType w:val="multilevel"/>
    <w:tmpl w:val="6A327324"/>
    <w:lvl w:ilvl="0">
      <w:start w:val="1"/>
      <w:numFmt w:val="decimal"/>
      <w:lvlText w:val="%1."/>
      <w:lvlJc w:val="left"/>
      <w:pPr>
        <w:tabs>
          <w:tab w:val="num" w:pos="720"/>
        </w:tabs>
        <w:ind w:left="720" w:hanging="720"/>
      </w:pPr>
      <w:rPr>
        <w:rFonts w:ascii="Calibri Light" w:eastAsia="Arial" w:hAnsi="Calibri Light" w:cs="Calibri Light"/>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tabs>
          <w:tab w:val="num" w:pos="2865"/>
        </w:tabs>
        <w:ind w:left="2865" w:hanging="705"/>
      </w:pPr>
      <w:rPr>
        <w:rFonts w:cs="Times New Roman"/>
      </w:rPr>
    </w:lvl>
    <w:lvl w:ilvl="4">
      <w:start w:val="1"/>
      <w:numFmt w:val="lowerLetter"/>
      <w:lvlText w:val="%5."/>
      <w:lvlJc w:val="left"/>
      <w:pPr>
        <w:tabs>
          <w:tab w:val="num" w:pos="3240"/>
        </w:tabs>
        <w:ind w:left="3240" w:hanging="360"/>
      </w:pPr>
      <w:rPr>
        <w:rFonts w:cs="Times New Roman"/>
      </w:rPr>
    </w:lvl>
    <w:lvl w:ilvl="5">
      <w:start w:val="1"/>
      <w:numFmt w:val="bullet"/>
      <w:lvlText w:val=""/>
      <w:lvlJc w:val="left"/>
      <w:pPr>
        <w:tabs>
          <w:tab w:val="num" w:pos="4140"/>
        </w:tabs>
        <w:ind w:left="4140" w:hanging="360"/>
      </w:pPr>
      <w:rPr>
        <w:rFonts w:ascii="Symbol" w:hAnsi="Symbol" w:cs="Symbol" w:hint="default"/>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20243C1B"/>
    <w:multiLevelType w:val="multilevel"/>
    <w:tmpl w:val="498277EA"/>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43103D"/>
    <w:multiLevelType w:val="hybridMultilevel"/>
    <w:tmpl w:val="692C1C10"/>
    <w:lvl w:ilvl="0" w:tplc="98E2BF52">
      <w:start w:val="1"/>
      <w:numFmt w:val="lowerLetter"/>
      <w:lvlText w:val="%1."/>
      <w:lvlJc w:val="left"/>
      <w:pPr>
        <w:ind w:left="1068" w:hanging="360"/>
      </w:pPr>
      <w:rPr>
        <w:rFonts w:hint="default"/>
        <w:lang w:val="pl-PL"/>
      </w:rPr>
    </w:lvl>
    <w:lvl w:ilvl="1" w:tplc="98E2BF52">
      <w:start w:val="1"/>
      <w:numFmt w:val="lowerLetter"/>
      <w:lvlText w:val="%2."/>
      <w:lvlJc w:val="left"/>
      <w:pPr>
        <w:ind w:left="1788" w:hanging="360"/>
      </w:pPr>
      <w:rPr>
        <w:lang w:val="pl-PL"/>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A3C688E"/>
    <w:multiLevelType w:val="multilevel"/>
    <w:tmpl w:val="B92C6628"/>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EE5DF1"/>
    <w:multiLevelType w:val="multilevel"/>
    <w:tmpl w:val="3D78700C"/>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3C6152"/>
    <w:multiLevelType w:val="multilevel"/>
    <w:tmpl w:val="A9104064"/>
    <w:lvl w:ilvl="0">
      <w:start w:val="1"/>
      <w:numFmt w:val="decimal"/>
      <w:lvlText w:val="%1."/>
      <w:lvlJc w:val="left"/>
      <w:pPr>
        <w:ind w:left="720" w:hanging="360"/>
      </w:pPr>
    </w:lvl>
    <w:lvl w:ilvl="1">
      <w:start w:val="1"/>
      <w:numFmt w:val="lowerLetter"/>
      <w:lvlText w:val="%2."/>
      <w:lvlJc w:val="left"/>
      <w:pPr>
        <w:ind w:left="765" w:hanging="405"/>
      </w:p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1" w15:restartNumberingAfterBreak="0">
    <w:nsid w:val="3AB451E6"/>
    <w:multiLevelType w:val="hybridMultilevel"/>
    <w:tmpl w:val="8ABA9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909DA"/>
    <w:multiLevelType w:val="hybridMultilevel"/>
    <w:tmpl w:val="C6F8952E"/>
    <w:lvl w:ilvl="0" w:tplc="0415000F">
      <w:start w:val="1"/>
      <w:numFmt w:val="decimal"/>
      <w:lvlText w:val="%1."/>
      <w:lvlJc w:val="left"/>
      <w:pPr>
        <w:ind w:left="-1723" w:hanging="360"/>
      </w:pPr>
      <w:rPr>
        <w:rFonts w:hint="default"/>
      </w:rPr>
    </w:lvl>
    <w:lvl w:ilvl="1" w:tplc="98E2BF52">
      <w:start w:val="1"/>
      <w:numFmt w:val="lowerLetter"/>
      <w:lvlText w:val="%2."/>
      <w:lvlJc w:val="left"/>
      <w:pPr>
        <w:ind w:left="-1003" w:hanging="360"/>
      </w:pPr>
      <w:rPr>
        <w:lang w:val="pl-PL"/>
      </w:rPr>
    </w:lvl>
    <w:lvl w:ilvl="2" w:tplc="0415001B">
      <w:start w:val="1"/>
      <w:numFmt w:val="lowerRoman"/>
      <w:lvlText w:val="%3."/>
      <w:lvlJc w:val="right"/>
      <w:pPr>
        <w:ind w:left="-283" w:hanging="180"/>
      </w:pPr>
    </w:lvl>
    <w:lvl w:ilvl="3" w:tplc="0415000F" w:tentative="1">
      <w:start w:val="1"/>
      <w:numFmt w:val="decimal"/>
      <w:lvlText w:val="%4."/>
      <w:lvlJc w:val="left"/>
      <w:pPr>
        <w:ind w:left="437" w:hanging="360"/>
      </w:pPr>
    </w:lvl>
    <w:lvl w:ilvl="4" w:tplc="04150019" w:tentative="1">
      <w:start w:val="1"/>
      <w:numFmt w:val="lowerLetter"/>
      <w:lvlText w:val="%5."/>
      <w:lvlJc w:val="left"/>
      <w:pPr>
        <w:ind w:left="1157" w:hanging="360"/>
      </w:pPr>
    </w:lvl>
    <w:lvl w:ilvl="5" w:tplc="0415001B" w:tentative="1">
      <w:start w:val="1"/>
      <w:numFmt w:val="lowerRoman"/>
      <w:lvlText w:val="%6."/>
      <w:lvlJc w:val="right"/>
      <w:pPr>
        <w:ind w:left="1877" w:hanging="180"/>
      </w:pPr>
    </w:lvl>
    <w:lvl w:ilvl="6" w:tplc="0415000F" w:tentative="1">
      <w:start w:val="1"/>
      <w:numFmt w:val="decimal"/>
      <w:lvlText w:val="%7."/>
      <w:lvlJc w:val="left"/>
      <w:pPr>
        <w:ind w:left="2597" w:hanging="360"/>
      </w:pPr>
    </w:lvl>
    <w:lvl w:ilvl="7" w:tplc="04150019" w:tentative="1">
      <w:start w:val="1"/>
      <w:numFmt w:val="lowerLetter"/>
      <w:lvlText w:val="%8."/>
      <w:lvlJc w:val="left"/>
      <w:pPr>
        <w:ind w:left="3317" w:hanging="360"/>
      </w:pPr>
    </w:lvl>
    <w:lvl w:ilvl="8" w:tplc="0415001B" w:tentative="1">
      <w:start w:val="1"/>
      <w:numFmt w:val="lowerRoman"/>
      <w:lvlText w:val="%9."/>
      <w:lvlJc w:val="right"/>
      <w:pPr>
        <w:ind w:left="4037" w:hanging="180"/>
      </w:pPr>
    </w:lvl>
  </w:abstractNum>
  <w:abstractNum w:abstractNumId="13" w15:restartNumberingAfterBreak="0">
    <w:nsid w:val="4387603F"/>
    <w:multiLevelType w:val="hybridMultilevel"/>
    <w:tmpl w:val="3C18F6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7DA0117"/>
    <w:multiLevelType w:val="multilevel"/>
    <w:tmpl w:val="FE9C6DA6"/>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640B05"/>
    <w:multiLevelType w:val="multilevel"/>
    <w:tmpl w:val="498277EA"/>
    <w:lvl w:ilvl="0">
      <w:start w:val="1"/>
      <w:numFmt w:val="decimal"/>
      <w:lvlText w:val="%1."/>
      <w:lvlJc w:val="left"/>
      <w:pPr>
        <w:ind w:left="360" w:hanging="360"/>
      </w:pPr>
    </w:lvl>
    <w:lvl w:ilvl="1">
      <w:start w:val="1"/>
      <w:numFmt w:val="lowerLetter"/>
      <w:lvlText w:val="%2."/>
      <w:lvlJc w:val="left"/>
      <w:pPr>
        <w:ind w:left="1134"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E227D28"/>
    <w:multiLevelType w:val="hybridMultilevel"/>
    <w:tmpl w:val="CB4216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3990BD0"/>
    <w:multiLevelType w:val="multilevel"/>
    <w:tmpl w:val="498277EA"/>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2"/>
  </w:num>
  <w:num w:numId="6">
    <w:abstractNumId w:val="9"/>
  </w:num>
  <w:num w:numId="7">
    <w:abstractNumId w:val="10"/>
  </w:num>
  <w:num w:numId="8">
    <w:abstractNumId w:val="15"/>
  </w:num>
  <w:num w:numId="9">
    <w:abstractNumId w:val="17"/>
  </w:num>
  <w:num w:numId="10">
    <w:abstractNumId w:val="6"/>
  </w:num>
  <w:num w:numId="11">
    <w:abstractNumId w:val="5"/>
  </w:num>
  <w:num w:numId="12">
    <w:abstractNumId w:val="3"/>
  </w:num>
  <w:num w:numId="13">
    <w:abstractNumId w:val="4"/>
  </w:num>
  <w:num w:numId="14">
    <w:abstractNumId w:val="13"/>
  </w:num>
  <w:num w:numId="15">
    <w:abstractNumId w:val="7"/>
  </w:num>
  <w:num w:numId="16">
    <w:abstractNumId w:val="12"/>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43"/>
    <w:rsid w:val="000330E7"/>
    <w:rsid w:val="000713A6"/>
    <w:rsid w:val="000B42D1"/>
    <w:rsid w:val="00111FB1"/>
    <w:rsid w:val="00131B0A"/>
    <w:rsid w:val="0019166F"/>
    <w:rsid w:val="001C3119"/>
    <w:rsid w:val="001D437B"/>
    <w:rsid w:val="001F5909"/>
    <w:rsid w:val="002D5B74"/>
    <w:rsid w:val="004631BC"/>
    <w:rsid w:val="00517F0B"/>
    <w:rsid w:val="0055364A"/>
    <w:rsid w:val="0064364B"/>
    <w:rsid w:val="006518A1"/>
    <w:rsid w:val="006B0E83"/>
    <w:rsid w:val="006B2385"/>
    <w:rsid w:val="006C1ECA"/>
    <w:rsid w:val="00703B53"/>
    <w:rsid w:val="007A4AB9"/>
    <w:rsid w:val="008760DB"/>
    <w:rsid w:val="008E183B"/>
    <w:rsid w:val="00926B4E"/>
    <w:rsid w:val="00936E07"/>
    <w:rsid w:val="0098541A"/>
    <w:rsid w:val="00AA4442"/>
    <w:rsid w:val="00B12E4E"/>
    <w:rsid w:val="00B5204B"/>
    <w:rsid w:val="00BD0AA4"/>
    <w:rsid w:val="00C0242C"/>
    <w:rsid w:val="00C62BA7"/>
    <w:rsid w:val="00CD4648"/>
    <w:rsid w:val="00D31F43"/>
    <w:rsid w:val="00E11C43"/>
    <w:rsid w:val="00E4400E"/>
    <w:rsid w:val="00E460F1"/>
    <w:rsid w:val="00ED64F9"/>
    <w:rsid w:val="00F20A28"/>
    <w:rsid w:val="00F568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97F7C-9770-4365-B385-EA33141F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1FB1"/>
    <w:pPr>
      <w:suppressAutoHyphens/>
      <w:spacing w:after="0" w:line="240" w:lineRule="auto"/>
    </w:pPr>
    <w:rPr>
      <w:rFonts w:ascii="Times New Roman" w:eastAsia="Times New Roman" w:hAnsi="Times New Roman" w:cs="Times New Roman"/>
      <w:sz w:val="28"/>
      <w:szCs w:val="24"/>
      <w:lang w:eastAsia="ar-SA"/>
    </w:rPr>
  </w:style>
  <w:style w:type="paragraph" w:styleId="Nagwek1">
    <w:name w:val="heading 1"/>
    <w:basedOn w:val="Normalny"/>
    <w:next w:val="Normalny"/>
    <w:link w:val="Nagwek1Znak"/>
    <w:qFormat/>
    <w:rsid w:val="00111FB1"/>
    <w:pPr>
      <w:keepNext/>
      <w:numPr>
        <w:numId w:val="1"/>
      </w:numPr>
      <w:outlineLvl w:val="0"/>
    </w:pPr>
    <w:rPr>
      <w:b/>
      <w:bCs/>
      <w:sz w:val="24"/>
    </w:rPr>
  </w:style>
  <w:style w:type="paragraph" w:styleId="Nagwek2">
    <w:name w:val="heading 2"/>
    <w:basedOn w:val="Normalny"/>
    <w:next w:val="Normalny"/>
    <w:link w:val="Nagwek2Znak"/>
    <w:qFormat/>
    <w:rsid w:val="00111FB1"/>
    <w:pPr>
      <w:keepNext/>
      <w:numPr>
        <w:ilvl w:val="1"/>
        <w:numId w:val="1"/>
      </w:numPr>
      <w:spacing w:before="240" w:after="60"/>
      <w:outlineLvl w:val="1"/>
    </w:pPr>
    <w:rPr>
      <w:rFonts w:ascii="Arial" w:hAnsi="Arial" w:cs="Arial"/>
      <w:b/>
      <w:bCs/>
      <w:i/>
      <w:iCs/>
      <w:szCs w:val="28"/>
    </w:rPr>
  </w:style>
  <w:style w:type="paragraph" w:styleId="Nagwek3">
    <w:name w:val="heading 3"/>
    <w:basedOn w:val="Normalny"/>
    <w:next w:val="Normalny"/>
    <w:link w:val="Nagwek3Znak"/>
    <w:qFormat/>
    <w:rsid w:val="00111FB1"/>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11FB1"/>
    <w:pPr>
      <w:keepNext/>
      <w:numPr>
        <w:ilvl w:val="3"/>
        <w:numId w:val="1"/>
      </w:numPr>
      <w:spacing w:before="240" w:after="60"/>
      <w:outlineLvl w:val="3"/>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F5686B"/>
    <w:pPr>
      <w:tabs>
        <w:tab w:val="center" w:pos="4536"/>
        <w:tab w:val="right" w:pos="9072"/>
      </w:tabs>
    </w:pPr>
  </w:style>
  <w:style w:type="character" w:customStyle="1" w:styleId="StopkaZnak">
    <w:name w:val="Stopka Znak"/>
    <w:basedOn w:val="Domylnaczcionkaakapitu"/>
    <w:link w:val="Stopka"/>
    <w:rsid w:val="00F5686B"/>
    <w:rPr>
      <w:rFonts w:ascii="Times New Roman" w:eastAsia="Times New Roman" w:hAnsi="Times New Roman" w:cs="Times New Roman"/>
      <w:sz w:val="28"/>
      <w:szCs w:val="24"/>
      <w:lang w:eastAsia="ar-SA"/>
    </w:rPr>
  </w:style>
  <w:style w:type="paragraph" w:styleId="Nagwek">
    <w:name w:val="header"/>
    <w:basedOn w:val="Normalny"/>
    <w:link w:val="NagwekZnak"/>
    <w:uiPriority w:val="99"/>
    <w:unhideWhenUsed/>
    <w:rsid w:val="004631BC"/>
    <w:pPr>
      <w:tabs>
        <w:tab w:val="center" w:pos="4536"/>
        <w:tab w:val="right" w:pos="9072"/>
      </w:tabs>
    </w:pPr>
  </w:style>
  <w:style w:type="character" w:customStyle="1" w:styleId="NagwekZnak">
    <w:name w:val="Nagłówek Znak"/>
    <w:basedOn w:val="Domylnaczcionkaakapitu"/>
    <w:link w:val="Nagwek"/>
    <w:uiPriority w:val="99"/>
    <w:rsid w:val="004631BC"/>
  </w:style>
  <w:style w:type="character" w:customStyle="1" w:styleId="Nagwek1Znak">
    <w:name w:val="Nagłówek 1 Znak"/>
    <w:basedOn w:val="Domylnaczcionkaakapitu"/>
    <w:link w:val="Nagwek1"/>
    <w:rsid w:val="00111FB1"/>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111FB1"/>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111FB1"/>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111FB1"/>
    <w:rPr>
      <w:rFonts w:ascii="Times New Roman" w:eastAsia="Times New Roman" w:hAnsi="Times New Roman" w:cs="Times New Roman"/>
      <w:b/>
      <w:bCs/>
      <w:sz w:val="28"/>
      <w:szCs w:val="28"/>
      <w:lang w:eastAsia="ar-SA"/>
    </w:rPr>
  </w:style>
  <w:style w:type="paragraph" w:styleId="Tekstpodstawowy">
    <w:name w:val="Body Text"/>
    <w:basedOn w:val="Normalny"/>
    <w:link w:val="TekstpodstawowyZnak"/>
    <w:semiHidden/>
    <w:rsid w:val="00111FB1"/>
    <w:pPr>
      <w:jc w:val="both"/>
    </w:pPr>
    <w:rPr>
      <w:sz w:val="24"/>
    </w:rPr>
  </w:style>
  <w:style w:type="character" w:customStyle="1" w:styleId="TekstpodstawowyZnak">
    <w:name w:val="Tekst podstawowy Znak"/>
    <w:basedOn w:val="Domylnaczcionkaakapitu"/>
    <w:link w:val="Tekstpodstawowy"/>
    <w:semiHidden/>
    <w:rsid w:val="00111FB1"/>
    <w:rPr>
      <w:rFonts w:ascii="Times New Roman" w:eastAsia="Times New Roman" w:hAnsi="Times New Roman" w:cs="Times New Roman"/>
      <w:sz w:val="24"/>
      <w:szCs w:val="24"/>
      <w:lang w:eastAsia="ar-SA"/>
    </w:rPr>
  </w:style>
  <w:style w:type="paragraph" w:styleId="Akapitzlist">
    <w:name w:val="List Paragraph"/>
    <w:aliases w:val="Numerowanie,List Paragraph,Akapit z listą BS,L1,sw tekst,Akapit z listą5,normalny tekst,Kolorowa lista — akcent 11,Akapit normalny,Lista XXX,Obiekt,T_SZ_List Paragraph,A_wyliczenie,K-P_odwolanie,maz_wyliczenie,opis dzialania,Signature,lp1"/>
    <w:basedOn w:val="Normalny"/>
    <w:link w:val="AkapitzlistZnak"/>
    <w:uiPriority w:val="34"/>
    <w:qFormat/>
    <w:rsid w:val="00111FB1"/>
    <w:pPr>
      <w:suppressAutoHyphens w:val="0"/>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Numerowanie Znak,List Paragraph Znak,Akapit z listą BS Znak,L1 Znak,sw tekst Znak,Akapit z listą5 Znak,normalny tekst Znak,Kolorowa lista — akcent 11 Znak,Akapit normalny Znak,Lista XXX Znak,Obiekt Znak,T_SZ_List Paragraph Znak"/>
    <w:link w:val="Akapitzlist"/>
    <w:uiPriority w:val="34"/>
    <w:qFormat/>
    <w:rsid w:val="00111FB1"/>
    <w:rPr>
      <w:rFonts w:ascii="Calibri" w:eastAsia="Calibri" w:hAnsi="Calibri" w:cs="Times New Roman"/>
    </w:rPr>
  </w:style>
  <w:style w:type="table" w:styleId="Tabela-Siatka">
    <w:name w:val="Table Grid"/>
    <w:basedOn w:val="Standardowy"/>
    <w:uiPriority w:val="59"/>
    <w:rsid w:val="00111F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98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25839">
      <w:bodyDiv w:val="1"/>
      <w:marLeft w:val="0"/>
      <w:marRight w:val="0"/>
      <w:marTop w:val="0"/>
      <w:marBottom w:val="0"/>
      <w:divBdr>
        <w:top w:val="none" w:sz="0" w:space="0" w:color="auto"/>
        <w:left w:val="none" w:sz="0" w:space="0" w:color="auto"/>
        <w:bottom w:val="none" w:sz="0" w:space="0" w:color="auto"/>
        <w:right w:val="none" w:sz="0" w:space="0" w:color="auto"/>
      </w:divBdr>
    </w:div>
    <w:div w:id="11229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1968</Words>
  <Characters>11814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7</cp:revision>
  <dcterms:created xsi:type="dcterms:W3CDTF">2023-04-26T08:19:00Z</dcterms:created>
  <dcterms:modified xsi:type="dcterms:W3CDTF">2023-04-27T05:30:00Z</dcterms:modified>
</cp:coreProperties>
</file>