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86F1" w14:textId="77777777" w:rsidR="006012FF" w:rsidRDefault="006012FF" w:rsidP="006012FF"/>
    <w:p w14:paraId="4334F1B2" w14:textId="77777777" w:rsidR="006012FF" w:rsidRDefault="006012FF" w:rsidP="006012FF"/>
    <w:p w14:paraId="3EB74DA6" w14:textId="20DC6A4E" w:rsidR="00D12E50" w:rsidRDefault="006012FF" w:rsidP="006012FF">
      <w:pPr>
        <w:jc w:val="both"/>
      </w:pPr>
      <w:r>
        <w:t xml:space="preserve">Załącznik </w:t>
      </w:r>
      <w:r w:rsidR="00A62D88">
        <w:t xml:space="preserve">nr </w:t>
      </w:r>
      <w:r w:rsidR="002E6BA1">
        <w:t>2</w:t>
      </w:r>
      <w:r w:rsidR="00A62D88">
        <w:t xml:space="preserve"> </w:t>
      </w:r>
      <w:r>
        <w:t>do zapytania ofertowego nr 01/03/2023/SMART na zamówienie systemu automatyki przemysłowej do zarządzania procesami przetwórczymi w fabryce materiałów paszowych z owadów w ramach projektu: Ścieżka SMART, numer naboru FENG.01.01-IP.02-001/23</w:t>
      </w:r>
    </w:p>
    <w:p w14:paraId="4B2BA2DB" w14:textId="641375E3" w:rsidR="00226485" w:rsidRDefault="00226485"/>
    <w:p w14:paraId="1B23AC9F" w14:textId="42A21B97" w:rsidR="00226485" w:rsidRDefault="00226485"/>
    <w:p w14:paraId="600942CD" w14:textId="5E548F3B" w:rsidR="00226485" w:rsidRDefault="00226485"/>
    <w:p w14:paraId="5AB8B38D" w14:textId="12304188" w:rsidR="00226485" w:rsidRPr="00AF6DB1" w:rsidRDefault="00377201" w:rsidP="0099173A">
      <w:pPr>
        <w:jc w:val="center"/>
        <w:rPr>
          <w:sz w:val="36"/>
          <w:szCs w:val="36"/>
        </w:rPr>
      </w:pPr>
      <w:r w:rsidRPr="00AF6DB1">
        <w:rPr>
          <w:sz w:val="36"/>
          <w:szCs w:val="36"/>
        </w:rPr>
        <w:t xml:space="preserve">Wykonanie zakresu sterowania i wizualizacji procesów produkcyjnych w fabryce produkcji produktów paszowych na bazie białka owadziego. </w:t>
      </w:r>
    </w:p>
    <w:p w14:paraId="3E082494" w14:textId="5970080C" w:rsidR="00282B15" w:rsidRPr="00282B15" w:rsidRDefault="00282B15" w:rsidP="00282B15"/>
    <w:p w14:paraId="39F1AB1F" w14:textId="073E9A48" w:rsidR="00282B15" w:rsidRDefault="00282B15" w:rsidP="00282B15"/>
    <w:p w14:paraId="07B183B7" w14:textId="4524A7C4" w:rsidR="00282B15" w:rsidRDefault="00282B15" w:rsidP="00282B15">
      <w:pPr>
        <w:tabs>
          <w:tab w:val="left" w:pos="2453"/>
        </w:tabs>
      </w:pPr>
      <w:r>
        <w:tab/>
      </w:r>
    </w:p>
    <w:p w14:paraId="2A44F01B" w14:textId="31BC16D9" w:rsidR="00282B15" w:rsidRDefault="00282B15" w:rsidP="00282B15">
      <w:pPr>
        <w:tabs>
          <w:tab w:val="left" w:pos="2453"/>
        </w:tabs>
      </w:pPr>
    </w:p>
    <w:p w14:paraId="17C550E9" w14:textId="3742EB25" w:rsidR="00282B15" w:rsidRDefault="00282B15" w:rsidP="00282B15">
      <w:pPr>
        <w:tabs>
          <w:tab w:val="left" w:pos="2453"/>
        </w:tabs>
      </w:pPr>
    </w:p>
    <w:p w14:paraId="1D43B932" w14:textId="3108982A" w:rsidR="009A5071" w:rsidRDefault="009A5071" w:rsidP="00282B15">
      <w:pPr>
        <w:tabs>
          <w:tab w:val="left" w:pos="2453"/>
        </w:tabs>
      </w:pPr>
    </w:p>
    <w:p w14:paraId="31C25275" w14:textId="06E22C1F" w:rsidR="009A5071" w:rsidRDefault="009A5071" w:rsidP="00282B15">
      <w:pPr>
        <w:tabs>
          <w:tab w:val="left" w:pos="2453"/>
        </w:tabs>
      </w:pPr>
    </w:p>
    <w:p w14:paraId="2DC35E08" w14:textId="3AFB184C" w:rsidR="009A5071" w:rsidRDefault="009A5071" w:rsidP="00282B15">
      <w:pPr>
        <w:tabs>
          <w:tab w:val="left" w:pos="2453"/>
        </w:tabs>
      </w:pPr>
    </w:p>
    <w:p w14:paraId="4DDFE8B6" w14:textId="21EF6470" w:rsidR="009A5071" w:rsidRDefault="009A5071" w:rsidP="00282B15">
      <w:pPr>
        <w:tabs>
          <w:tab w:val="left" w:pos="2453"/>
        </w:tabs>
      </w:pPr>
    </w:p>
    <w:p w14:paraId="77ECD9C0" w14:textId="546A9C60" w:rsidR="009A5071" w:rsidRDefault="009A5071" w:rsidP="00282B15">
      <w:pPr>
        <w:tabs>
          <w:tab w:val="left" w:pos="2453"/>
        </w:tabs>
      </w:pPr>
    </w:p>
    <w:p w14:paraId="18FDF202" w14:textId="6139F61D" w:rsidR="009A5071" w:rsidRDefault="009A5071" w:rsidP="00282B15">
      <w:pPr>
        <w:tabs>
          <w:tab w:val="left" w:pos="2453"/>
        </w:tabs>
      </w:pPr>
    </w:p>
    <w:p w14:paraId="07A3AA01" w14:textId="2CBD9852" w:rsidR="009A5071" w:rsidRDefault="009A5071" w:rsidP="00282B15">
      <w:pPr>
        <w:tabs>
          <w:tab w:val="left" w:pos="2453"/>
        </w:tabs>
      </w:pPr>
    </w:p>
    <w:p w14:paraId="00893EDC" w14:textId="2C3D32D3" w:rsidR="009A5071" w:rsidRDefault="009A5071" w:rsidP="00282B15">
      <w:pPr>
        <w:tabs>
          <w:tab w:val="left" w:pos="2453"/>
        </w:tabs>
      </w:pPr>
    </w:p>
    <w:p w14:paraId="42D38545" w14:textId="47AC8B62" w:rsidR="009A5071" w:rsidRDefault="009A5071" w:rsidP="00282B15">
      <w:pPr>
        <w:tabs>
          <w:tab w:val="left" w:pos="2453"/>
        </w:tabs>
      </w:pPr>
    </w:p>
    <w:p w14:paraId="416C128E" w14:textId="77777777" w:rsidR="009A5071" w:rsidRDefault="009A5071" w:rsidP="00282B15">
      <w:pPr>
        <w:tabs>
          <w:tab w:val="left" w:pos="2453"/>
        </w:tabs>
      </w:pPr>
    </w:p>
    <w:p w14:paraId="145A5B17" w14:textId="1A62C3D5" w:rsidR="00282B15" w:rsidRDefault="00282B15" w:rsidP="00282B15">
      <w:pPr>
        <w:tabs>
          <w:tab w:val="left" w:pos="2453"/>
        </w:tabs>
      </w:pPr>
    </w:p>
    <w:p w14:paraId="59FF94F3" w14:textId="3D020E90" w:rsidR="00AF6DB1" w:rsidRDefault="00AF6DB1" w:rsidP="00282B15">
      <w:pPr>
        <w:tabs>
          <w:tab w:val="left" w:pos="2453"/>
        </w:tabs>
      </w:pPr>
    </w:p>
    <w:p w14:paraId="12F56D74" w14:textId="6C74A506" w:rsidR="00AF6DB1" w:rsidRDefault="00AF6DB1" w:rsidP="00282B15">
      <w:pPr>
        <w:tabs>
          <w:tab w:val="left" w:pos="2453"/>
        </w:tabs>
      </w:pPr>
    </w:p>
    <w:p w14:paraId="51EBC5A0" w14:textId="77777777" w:rsidR="00AF6DB1" w:rsidRDefault="00AF6DB1" w:rsidP="00282B15">
      <w:pPr>
        <w:tabs>
          <w:tab w:val="left" w:pos="2453"/>
        </w:tabs>
      </w:pPr>
    </w:p>
    <w:p w14:paraId="53E2BB7C" w14:textId="3C3F5A97" w:rsidR="00282B15" w:rsidRDefault="00282B15" w:rsidP="00282B15">
      <w:pPr>
        <w:tabs>
          <w:tab w:val="left" w:pos="2453"/>
        </w:tabs>
      </w:pPr>
    </w:p>
    <w:p w14:paraId="658324D3" w14:textId="7328A7EA" w:rsidR="00282B15" w:rsidRDefault="00282B15" w:rsidP="00282B15">
      <w:pPr>
        <w:tabs>
          <w:tab w:val="left" w:pos="2453"/>
        </w:tabs>
      </w:pPr>
    </w:p>
    <w:p w14:paraId="79BEA01C" w14:textId="211145CA" w:rsidR="00282B15" w:rsidRDefault="00282B15" w:rsidP="00282B15">
      <w:pPr>
        <w:tabs>
          <w:tab w:val="left" w:pos="2453"/>
        </w:tabs>
      </w:pPr>
    </w:p>
    <w:p w14:paraId="0B92F3D2" w14:textId="1FA06F2C" w:rsidR="00282B15" w:rsidRDefault="00282B15" w:rsidP="00282B15">
      <w:pPr>
        <w:tabs>
          <w:tab w:val="left" w:pos="2453"/>
        </w:tabs>
      </w:pPr>
    </w:p>
    <w:p w14:paraId="158A34A8" w14:textId="74904EB3" w:rsidR="008D31FD" w:rsidRDefault="008D31FD" w:rsidP="00282B15">
      <w:pPr>
        <w:tabs>
          <w:tab w:val="left" w:pos="2453"/>
        </w:tabs>
      </w:pPr>
      <w:r>
        <w:t xml:space="preserve">ZASADA POUFNOŚCI I WŁASNOŚCI: </w:t>
      </w:r>
    </w:p>
    <w:p w14:paraId="57E67FEB" w14:textId="77777777" w:rsidR="008D31FD" w:rsidRDefault="008D31FD" w:rsidP="00282B15">
      <w:pPr>
        <w:tabs>
          <w:tab w:val="left" w:pos="2453"/>
        </w:tabs>
      </w:pPr>
      <w:r>
        <w:t xml:space="preserve"> (1) INFORMACJE I/LUB DANE ZAWARTE W TEJ SPECYFIKACJI NIE MOGĄ BYĆ UDOSTĘPNIANE STRONOM TRZECIM. </w:t>
      </w:r>
    </w:p>
    <w:p w14:paraId="123D65B8" w14:textId="69034E40" w:rsidR="008D31FD" w:rsidRDefault="008D31FD" w:rsidP="00282B15">
      <w:pPr>
        <w:tabs>
          <w:tab w:val="left" w:pos="2453"/>
        </w:tabs>
      </w:pPr>
      <w:r>
        <w:t xml:space="preserve">(2) PRAWA WŁASNOŚCI DO PROJEKTU I/LUB URZĄDZENIA BĘDĄCEGO WYNIKIEM TEJ SPECYFIKACJI PRZECHODZĄ AUTOMATYCZNIE NA HiProMine S A  </w:t>
      </w:r>
    </w:p>
    <w:p w14:paraId="7CDED878" w14:textId="634F12FE" w:rsidR="00282B15" w:rsidRDefault="008D31FD" w:rsidP="00282B15">
      <w:pPr>
        <w:tabs>
          <w:tab w:val="left" w:pos="2453"/>
        </w:tabs>
      </w:pPr>
      <w:r>
        <w:t>(3) WYSTĄPIENIE O PRAWA WŁASNOŚCI OPARTE NA PROJEKCIE I/LUB URZĄDZENIU BĘDĄCYM WYNIKIEM TEJ SPECYFIKACJI MUSI BYĆ ZAAPROBOWANE PRZEZ WŁAŚCICIELA (</w:t>
      </w:r>
      <w:r w:rsidR="000F62C8">
        <w:t>HiProMine S A)</w:t>
      </w:r>
      <w:r>
        <w:t xml:space="preserve"> NA PIŚMIE.</w:t>
      </w:r>
    </w:p>
    <w:p w14:paraId="60D4A4DE" w14:textId="52FE14B6" w:rsidR="008D31FD" w:rsidRDefault="008D31FD" w:rsidP="00282B15">
      <w:pPr>
        <w:tabs>
          <w:tab w:val="left" w:pos="2453"/>
        </w:tabs>
      </w:pPr>
    </w:p>
    <w:p w14:paraId="786D6168" w14:textId="3514E3D9" w:rsidR="005B38E8" w:rsidRDefault="005B38E8" w:rsidP="00282B15">
      <w:pPr>
        <w:tabs>
          <w:tab w:val="left" w:pos="2453"/>
        </w:tabs>
      </w:pPr>
    </w:p>
    <w:p w14:paraId="7D75CF99" w14:textId="2BAA23A2" w:rsidR="003024AD" w:rsidRDefault="003024AD" w:rsidP="00282B15">
      <w:pPr>
        <w:tabs>
          <w:tab w:val="left" w:pos="2453"/>
        </w:tabs>
      </w:pPr>
    </w:p>
    <w:p w14:paraId="3925CBDA" w14:textId="7A0A4767" w:rsidR="003024AD" w:rsidRDefault="003024AD" w:rsidP="00282B15">
      <w:pPr>
        <w:tabs>
          <w:tab w:val="left" w:pos="2453"/>
        </w:tabs>
      </w:pPr>
    </w:p>
    <w:p w14:paraId="7762391E" w14:textId="0E363A19" w:rsidR="003024AD" w:rsidRDefault="003024AD" w:rsidP="00282B15">
      <w:pPr>
        <w:tabs>
          <w:tab w:val="left" w:pos="2453"/>
        </w:tabs>
      </w:pPr>
    </w:p>
    <w:p w14:paraId="515F90D8" w14:textId="5A449E69" w:rsidR="003024AD" w:rsidRDefault="003024AD" w:rsidP="00282B15">
      <w:pPr>
        <w:tabs>
          <w:tab w:val="left" w:pos="2453"/>
        </w:tabs>
      </w:pPr>
    </w:p>
    <w:p w14:paraId="157E0A39" w14:textId="1F5AEBA6" w:rsidR="003024AD" w:rsidRDefault="003024AD" w:rsidP="00282B15">
      <w:pPr>
        <w:tabs>
          <w:tab w:val="left" w:pos="2453"/>
        </w:tabs>
      </w:pPr>
    </w:p>
    <w:p w14:paraId="7E0F08F5" w14:textId="21D78E0D" w:rsidR="003024AD" w:rsidRDefault="003024AD" w:rsidP="00282B15">
      <w:pPr>
        <w:tabs>
          <w:tab w:val="left" w:pos="2453"/>
        </w:tabs>
      </w:pPr>
    </w:p>
    <w:p w14:paraId="657143B0" w14:textId="77777777" w:rsidR="003024AD" w:rsidRDefault="003024AD" w:rsidP="00282B15">
      <w:pPr>
        <w:tabs>
          <w:tab w:val="left" w:pos="2453"/>
        </w:tabs>
      </w:pPr>
    </w:p>
    <w:p w14:paraId="049DE22D" w14:textId="550C486F" w:rsidR="005B38E8" w:rsidRDefault="005B38E8" w:rsidP="00282B15">
      <w:pPr>
        <w:tabs>
          <w:tab w:val="left" w:pos="2453"/>
        </w:tabs>
      </w:pPr>
    </w:p>
    <w:p w14:paraId="5343A895" w14:textId="65A7494C" w:rsidR="000C2E7D" w:rsidRDefault="000C2E7D" w:rsidP="00282B15">
      <w:pPr>
        <w:tabs>
          <w:tab w:val="left" w:pos="2453"/>
        </w:tabs>
      </w:pPr>
    </w:p>
    <w:p w14:paraId="5DB3DB66" w14:textId="57F4BC62" w:rsidR="000C2E7D" w:rsidRDefault="000C2E7D" w:rsidP="00282B15">
      <w:pPr>
        <w:tabs>
          <w:tab w:val="left" w:pos="2453"/>
        </w:tabs>
      </w:pPr>
    </w:p>
    <w:p w14:paraId="62EBDDC1" w14:textId="0DA7335F" w:rsidR="000C2E7D" w:rsidRDefault="000C2E7D" w:rsidP="00282B15">
      <w:pPr>
        <w:tabs>
          <w:tab w:val="left" w:pos="2453"/>
        </w:tabs>
      </w:pPr>
    </w:p>
    <w:p w14:paraId="626A7975" w14:textId="29C27551" w:rsidR="000C2E7D" w:rsidRDefault="000C2E7D" w:rsidP="00282B15">
      <w:pPr>
        <w:tabs>
          <w:tab w:val="left" w:pos="2453"/>
        </w:tabs>
      </w:pPr>
    </w:p>
    <w:p w14:paraId="241B68EA" w14:textId="4A948D3C" w:rsidR="000C2E7D" w:rsidRDefault="000C2E7D" w:rsidP="00282B15">
      <w:pPr>
        <w:tabs>
          <w:tab w:val="left" w:pos="2453"/>
        </w:tabs>
      </w:pPr>
    </w:p>
    <w:p w14:paraId="3FFB016D" w14:textId="1B728924" w:rsidR="000C2E7D" w:rsidRDefault="000C2E7D" w:rsidP="00282B15">
      <w:pPr>
        <w:tabs>
          <w:tab w:val="left" w:pos="2453"/>
        </w:tabs>
      </w:pPr>
    </w:p>
    <w:p w14:paraId="1403FC0D" w14:textId="77E94D9E" w:rsidR="000C2E7D" w:rsidRDefault="000C2E7D" w:rsidP="00282B15">
      <w:pPr>
        <w:tabs>
          <w:tab w:val="left" w:pos="2453"/>
        </w:tabs>
      </w:pPr>
    </w:p>
    <w:p w14:paraId="4C53B0DE" w14:textId="604EAEE2" w:rsidR="000C2E7D" w:rsidRDefault="000C2E7D" w:rsidP="00282B15">
      <w:pPr>
        <w:tabs>
          <w:tab w:val="left" w:pos="2453"/>
        </w:tabs>
      </w:pPr>
    </w:p>
    <w:p w14:paraId="4A7A26F9" w14:textId="77777777" w:rsidR="00377201" w:rsidRDefault="00377201" w:rsidP="00282B15">
      <w:pPr>
        <w:tabs>
          <w:tab w:val="left" w:pos="2453"/>
        </w:tabs>
      </w:pPr>
    </w:p>
    <w:p w14:paraId="5816B8CF" w14:textId="77777777" w:rsidR="000C2E7D" w:rsidRDefault="000C2E7D" w:rsidP="00282B15">
      <w:pPr>
        <w:tabs>
          <w:tab w:val="left" w:pos="2453"/>
        </w:tabs>
      </w:pPr>
    </w:p>
    <w:p w14:paraId="332F3927" w14:textId="35B05BC5" w:rsidR="008D31FD" w:rsidRDefault="008D31FD" w:rsidP="00282B15">
      <w:pPr>
        <w:tabs>
          <w:tab w:val="left" w:pos="2453"/>
        </w:tabs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099505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34F273E" w14:textId="416F5FE8" w:rsidR="005B38E8" w:rsidRDefault="005B38E8">
          <w:pPr>
            <w:pStyle w:val="Nagwekspisutreci"/>
          </w:pPr>
          <w:r>
            <w:t>Spis treści</w:t>
          </w:r>
        </w:p>
        <w:p w14:paraId="6726051F" w14:textId="43B5E812" w:rsidR="005B38E8" w:rsidRDefault="005B38E8">
          <w:pPr>
            <w:pStyle w:val="Spistreci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4353223" w:history="1">
            <w:r w:rsidRPr="006D77D0">
              <w:rPr>
                <w:rStyle w:val="Hipercze"/>
                <w:noProof/>
              </w:rPr>
              <w:t>POSTANOWIENIA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_Toc104353223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407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9F55F2" w14:textId="4B8AB70C" w:rsidR="005B38E8" w:rsidRDefault="00000000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04353224" w:history="1">
            <w:r w:rsidR="005B38E8" w:rsidRPr="006D77D0">
              <w:rPr>
                <w:rStyle w:val="Hipercze"/>
                <w:noProof/>
              </w:rPr>
              <w:t>CEL ZAMÓWIENIA</w:t>
            </w:r>
            <w:r w:rsidR="005B38E8">
              <w:rPr>
                <w:noProof/>
                <w:webHidden/>
              </w:rPr>
              <w:tab/>
            </w:r>
            <w:r w:rsidR="005B38E8">
              <w:rPr>
                <w:noProof/>
                <w:webHidden/>
              </w:rPr>
              <w:fldChar w:fldCharType="begin"/>
            </w:r>
            <w:r w:rsidR="005B38E8">
              <w:rPr>
                <w:noProof/>
                <w:webHidden/>
              </w:rPr>
              <w:instrText xml:space="preserve"> PAGEREF _Toc104353224 \h </w:instrText>
            </w:r>
            <w:r w:rsidR="005B38E8">
              <w:rPr>
                <w:noProof/>
                <w:webHidden/>
              </w:rPr>
            </w:r>
            <w:r w:rsidR="005B38E8">
              <w:rPr>
                <w:noProof/>
                <w:webHidden/>
              </w:rPr>
              <w:fldChar w:fldCharType="separate"/>
            </w:r>
            <w:r w:rsidR="002D407B">
              <w:rPr>
                <w:noProof/>
                <w:webHidden/>
              </w:rPr>
              <w:t>5</w:t>
            </w:r>
            <w:r w:rsidR="005B38E8">
              <w:rPr>
                <w:noProof/>
                <w:webHidden/>
              </w:rPr>
              <w:fldChar w:fldCharType="end"/>
            </w:r>
          </w:hyperlink>
        </w:p>
        <w:p w14:paraId="53B0FD07" w14:textId="5FD2BEE5" w:rsidR="005B38E8" w:rsidRDefault="00000000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04353225" w:history="1">
            <w:r w:rsidR="005B38E8" w:rsidRPr="006D77D0">
              <w:rPr>
                <w:rStyle w:val="Hipercze"/>
                <w:noProof/>
              </w:rPr>
              <w:t>ZAKRES</w:t>
            </w:r>
            <w:r w:rsidR="005B38E8">
              <w:rPr>
                <w:noProof/>
                <w:webHidden/>
              </w:rPr>
              <w:tab/>
            </w:r>
            <w:r w:rsidR="005B38E8">
              <w:rPr>
                <w:noProof/>
                <w:webHidden/>
              </w:rPr>
              <w:fldChar w:fldCharType="begin"/>
            </w:r>
            <w:r w:rsidR="005B38E8">
              <w:rPr>
                <w:noProof/>
                <w:webHidden/>
              </w:rPr>
              <w:instrText xml:space="preserve"> PAGEREF _Toc104353225 \h </w:instrText>
            </w:r>
            <w:r w:rsidR="005B38E8">
              <w:rPr>
                <w:noProof/>
                <w:webHidden/>
              </w:rPr>
            </w:r>
            <w:r w:rsidR="005B38E8">
              <w:rPr>
                <w:noProof/>
                <w:webHidden/>
              </w:rPr>
              <w:fldChar w:fldCharType="separate"/>
            </w:r>
            <w:r w:rsidR="002D407B">
              <w:rPr>
                <w:noProof/>
                <w:webHidden/>
              </w:rPr>
              <w:t>5</w:t>
            </w:r>
            <w:r w:rsidR="005B38E8">
              <w:rPr>
                <w:noProof/>
                <w:webHidden/>
              </w:rPr>
              <w:fldChar w:fldCharType="end"/>
            </w:r>
          </w:hyperlink>
        </w:p>
        <w:p w14:paraId="47E7E6C2" w14:textId="1104E96F" w:rsidR="005B38E8" w:rsidRDefault="00000000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04353226" w:history="1">
            <w:r w:rsidR="005B38E8" w:rsidRPr="006D77D0">
              <w:rPr>
                <w:rStyle w:val="Hipercze"/>
                <w:noProof/>
              </w:rPr>
              <w:t>ETAPY PRAC ZWIAZANYCH Z ZAMOWIENIEM</w:t>
            </w:r>
            <w:r w:rsidR="005B38E8">
              <w:rPr>
                <w:noProof/>
                <w:webHidden/>
              </w:rPr>
              <w:tab/>
            </w:r>
            <w:r w:rsidR="005B38E8">
              <w:rPr>
                <w:noProof/>
                <w:webHidden/>
              </w:rPr>
              <w:fldChar w:fldCharType="begin"/>
            </w:r>
            <w:r w:rsidR="005B38E8">
              <w:rPr>
                <w:noProof/>
                <w:webHidden/>
              </w:rPr>
              <w:instrText xml:space="preserve"> PAGEREF _Toc104353226 \h </w:instrText>
            </w:r>
            <w:r w:rsidR="005B38E8">
              <w:rPr>
                <w:noProof/>
                <w:webHidden/>
              </w:rPr>
            </w:r>
            <w:r w:rsidR="005B38E8">
              <w:rPr>
                <w:noProof/>
                <w:webHidden/>
              </w:rPr>
              <w:fldChar w:fldCharType="separate"/>
            </w:r>
            <w:r w:rsidR="002D407B">
              <w:rPr>
                <w:noProof/>
                <w:webHidden/>
              </w:rPr>
              <w:t>7</w:t>
            </w:r>
            <w:r w:rsidR="005B38E8">
              <w:rPr>
                <w:noProof/>
                <w:webHidden/>
              </w:rPr>
              <w:fldChar w:fldCharType="end"/>
            </w:r>
          </w:hyperlink>
        </w:p>
        <w:p w14:paraId="268C8BED" w14:textId="24962D88" w:rsidR="005B38E8" w:rsidRDefault="00000000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04353227" w:history="1">
            <w:r w:rsidR="005B38E8" w:rsidRPr="006D77D0">
              <w:rPr>
                <w:rStyle w:val="Hipercze"/>
                <w:noProof/>
              </w:rPr>
              <w:t>HARMONOGRAM RELIZACJI ZAMÓWIENIA</w:t>
            </w:r>
            <w:r w:rsidR="005B38E8">
              <w:rPr>
                <w:noProof/>
                <w:webHidden/>
              </w:rPr>
              <w:tab/>
            </w:r>
            <w:r w:rsidR="005B38E8">
              <w:rPr>
                <w:noProof/>
                <w:webHidden/>
              </w:rPr>
              <w:fldChar w:fldCharType="begin"/>
            </w:r>
            <w:r w:rsidR="005B38E8">
              <w:rPr>
                <w:noProof/>
                <w:webHidden/>
              </w:rPr>
              <w:instrText xml:space="preserve"> PAGEREF _Toc104353227 \h </w:instrText>
            </w:r>
            <w:r w:rsidR="005B38E8">
              <w:rPr>
                <w:noProof/>
                <w:webHidden/>
              </w:rPr>
            </w:r>
            <w:r w:rsidR="005B38E8">
              <w:rPr>
                <w:noProof/>
                <w:webHidden/>
              </w:rPr>
              <w:fldChar w:fldCharType="separate"/>
            </w:r>
            <w:r w:rsidR="002D407B">
              <w:rPr>
                <w:noProof/>
                <w:webHidden/>
              </w:rPr>
              <w:t>7</w:t>
            </w:r>
            <w:r w:rsidR="005B38E8">
              <w:rPr>
                <w:noProof/>
                <w:webHidden/>
              </w:rPr>
              <w:fldChar w:fldCharType="end"/>
            </w:r>
          </w:hyperlink>
        </w:p>
        <w:p w14:paraId="78E0C8B4" w14:textId="102FB085" w:rsidR="005B38E8" w:rsidRDefault="00000000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04353228" w:history="1">
            <w:r w:rsidR="005B38E8" w:rsidRPr="006D77D0">
              <w:rPr>
                <w:rStyle w:val="Hipercze"/>
                <w:noProof/>
              </w:rPr>
              <w:t>DOKUMENTACJA POWYKONAWCZA</w:t>
            </w:r>
            <w:r w:rsidR="005B38E8">
              <w:rPr>
                <w:noProof/>
                <w:webHidden/>
              </w:rPr>
              <w:tab/>
            </w:r>
            <w:r w:rsidR="005B38E8">
              <w:rPr>
                <w:noProof/>
                <w:webHidden/>
              </w:rPr>
              <w:fldChar w:fldCharType="begin"/>
            </w:r>
            <w:r w:rsidR="005B38E8">
              <w:rPr>
                <w:noProof/>
                <w:webHidden/>
              </w:rPr>
              <w:instrText xml:space="preserve"> PAGEREF _Toc104353228 \h </w:instrText>
            </w:r>
            <w:r w:rsidR="005B38E8">
              <w:rPr>
                <w:noProof/>
                <w:webHidden/>
              </w:rPr>
            </w:r>
            <w:r w:rsidR="005B38E8">
              <w:rPr>
                <w:noProof/>
                <w:webHidden/>
              </w:rPr>
              <w:fldChar w:fldCharType="separate"/>
            </w:r>
            <w:r w:rsidR="002D407B">
              <w:rPr>
                <w:noProof/>
                <w:webHidden/>
              </w:rPr>
              <w:t>7</w:t>
            </w:r>
            <w:r w:rsidR="005B38E8">
              <w:rPr>
                <w:noProof/>
                <w:webHidden/>
              </w:rPr>
              <w:fldChar w:fldCharType="end"/>
            </w:r>
          </w:hyperlink>
        </w:p>
        <w:p w14:paraId="628097C7" w14:textId="09CB3939" w:rsidR="005B38E8" w:rsidRDefault="00000000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04353229" w:history="1">
            <w:r w:rsidR="005B38E8" w:rsidRPr="006D77D0">
              <w:rPr>
                <w:rStyle w:val="Hipercze"/>
                <w:noProof/>
              </w:rPr>
              <w:t>ODBIÓR PRAC ZAMÓWIENIA</w:t>
            </w:r>
            <w:r w:rsidR="005B38E8">
              <w:rPr>
                <w:noProof/>
                <w:webHidden/>
              </w:rPr>
              <w:tab/>
            </w:r>
            <w:r w:rsidR="005B38E8">
              <w:rPr>
                <w:noProof/>
                <w:webHidden/>
              </w:rPr>
              <w:fldChar w:fldCharType="begin"/>
            </w:r>
            <w:r w:rsidR="005B38E8">
              <w:rPr>
                <w:noProof/>
                <w:webHidden/>
              </w:rPr>
              <w:instrText xml:space="preserve"> PAGEREF _Toc104353229 \h </w:instrText>
            </w:r>
            <w:r w:rsidR="005B38E8">
              <w:rPr>
                <w:noProof/>
                <w:webHidden/>
              </w:rPr>
            </w:r>
            <w:r w:rsidR="005B38E8">
              <w:rPr>
                <w:noProof/>
                <w:webHidden/>
              </w:rPr>
              <w:fldChar w:fldCharType="separate"/>
            </w:r>
            <w:r w:rsidR="002D407B">
              <w:rPr>
                <w:noProof/>
                <w:webHidden/>
              </w:rPr>
              <w:t>9</w:t>
            </w:r>
            <w:r w:rsidR="005B38E8">
              <w:rPr>
                <w:noProof/>
                <w:webHidden/>
              </w:rPr>
              <w:fldChar w:fldCharType="end"/>
            </w:r>
          </w:hyperlink>
        </w:p>
        <w:p w14:paraId="7A4B86D4" w14:textId="57EC5788" w:rsidR="005B38E8" w:rsidRDefault="00000000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04353230" w:history="1">
            <w:r w:rsidR="005B38E8" w:rsidRPr="006D77D0">
              <w:rPr>
                <w:rStyle w:val="Hipercze"/>
                <w:noProof/>
              </w:rPr>
              <w:t>CZEŚĆ OGÓLNA – STANDARDY RELIZACJI ZADANIA W HIPROMINE SA</w:t>
            </w:r>
            <w:r w:rsidR="005B38E8">
              <w:rPr>
                <w:noProof/>
                <w:webHidden/>
              </w:rPr>
              <w:tab/>
            </w:r>
            <w:r w:rsidR="005B38E8">
              <w:rPr>
                <w:noProof/>
                <w:webHidden/>
              </w:rPr>
              <w:fldChar w:fldCharType="begin"/>
            </w:r>
            <w:r w:rsidR="005B38E8">
              <w:rPr>
                <w:noProof/>
                <w:webHidden/>
              </w:rPr>
              <w:instrText xml:space="preserve"> PAGEREF _Toc104353230 \h </w:instrText>
            </w:r>
            <w:r w:rsidR="005B38E8">
              <w:rPr>
                <w:noProof/>
                <w:webHidden/>
              </w:rPr>
            </w:r>
            <w:r w:rsidR="005B38E8">
              <w:rPr>
                <w:noProof/>
                <w:webHidden/>
              </w:rPr>
              <w:fldChar w:fldCharType="separate"/>
            </w:r>
            <w:r w:rsidR="002D407B">
              <w:rPr>
                <w:noProof/>
                <w:webHidden/>
              </w:rPr>
              <w:t>9</w:t>
            </w:r>
            <w:r w:rsidR="005B38E8">
              <w:rPr>
                <w:noProof/>
                <w:webHidden/>
              </w:rPr>
              <w:fldChar w:fldCharType="end"/>
            </w:r>
          </w:hyperlink>
        </w:p>
        <w:p w14:paraId="3E80758B" w14:textId="5525C47E" w:rsidR="005B38E8" w:rsidRDefault="00000000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104353231" w:history="1">
            <w:r w:rsidR="005B38E8" w:rsidRPr="006D77D0">
              <w:rPr>
                <w:rStyle w:val="Hipercze"/>
                <w:noProof/>
              </w:rPr>
              <w:t>UWAGI KOŃCOWE</w:t>
            </w:r>
            <w:r w:rsidR="005B38E8">
              <w:rPr>
                <w:noProof/>
                <w:webHidden/>
              </w:rPr>
              <w:tab/>
            </w:r>
            <w:r w:rsidR="005B38E8">
              <w:rPr>
                <w:noProof/>
                <w:webHidden/>
              </w:rPr>
              <w:fldChar w:fldCharType="begin"/>
            </w:r>
            <w:r w:rsidR="005B38E8">
              <w:rPr>
                <w:noProof/>
                <w:webHidden/>
              </w:rPr>
              <w:instrText xml:space="preserve"> PAGEREF _Toc104353231 \h </w:instrText>
            </w:r>
            <w:r w:rsidR="005B38E8">
              <w:rPr>
                <w:noProof/>
                <w:webHidden/>
              </w:rPr>
            </w:r>
            <w:r w:rsidR="005B38E8">
              <w:rPr>
                <w:noProof/>
                <w:webHidden/>
              </w:rPr>
              <w:fldChar w:fldCharType="separate"/>
            </w:r>
            <w:r w:rsidR="002D407B">
              <w:rPr>
                <w:noProof/>
                <w:webHidden/>
              </w:rPr>
              <w:t>13</w:t>
            </w:r>
            <w:r w:rsidR="005B38E8">
              <w:rPr>
                <w:noProof/>
                <w:webHidden/>
              </w:rPr>
              <w:fldChar w:fldCharType="end"/>
            </w:r>
          </w:hyperlink>
        </w:p>
        <w:p w14:paraId="4EA1591A" w14:textId="612772E3" w:rsidR="005B38E8" w:rsidRDefault="005B38E8">
          <w:r>
            <w:rPr>
              <w:b/>
              <w:bCs/>
            </w:rPr>
            <w:fldChar w:fldCharType="end"/>
          </w:r>
        </w:p>
      </w:sdtContent>
    </w:sdt>
    <w:p w14:paraId="23297CB3" w14:textId="09A1913C" w:rsidR="009A760E" w:rsidRDefault="009A760E" w:rsidP="009A760E"/>
    <w:p w14:paraId="164D52BD" w14:textId="2F6BC905" w:rsidR="009A760E" w:rsidRDefault="009A760E" w:rsidP="009A760E"/>
    <w:p w14:paraId="550B8CAC" w14:textId="372083BE" w:rsidR="009A760E" w:rsidRDefault="009A760E" w:rsidP="009A760E"/>
    <w:p w14:paraId="0028FAF1" w14:textId="77777777" w:rsidR="005B38E8" w:rsidRPr="005B38E8" w:rsidRDefault="005B38E8" w:rsidP="005B38E8"/>
    <w:p w14:paraId="3C307711" w14:textId="7AD48812" w:rsidR="009A760E" w:rsidRDefault="009A760E" w:rsidP="00BC66C5">
      <w:pPr>
        <w:pStyle w:val="Nagwek1"/>
      </w:pPr>
      <w:bookmarkStart w:id="0" w:name="_Toc104353223"/>
      <w:r>
        <w:t>POSTANOWIENIA OGÓLNE</w:t>
      </w:r>
      <w:bookmarkEnd w:id="0"/>
      <w:r>
        <w:t xml:space="preserve"> </w:t>
      </w:r>
    </w:p>
    <w:p w14:paraId="48745651" w14:textId="77777777" w:rsidR="009A760E" w:rsidRDefault="009A760E" w:rsidP="0000237F">
      <w:r>
        <w:t xml:space="preserve">Na potrzeby niniejszej specyfikacji HiProMine SA. będzie opisany jako HPM lub Zamawiający, a firma realizująca zamówienie (zarówno jej pracownicy jak i pracownicy firm kooperujących z tą firmą na rzecz realizacji zamówienia) będzie opisana jako </w:t>
      </w:r>
      <w:r w:rsidRPr="0000237F">
        <w:rPr>
          <w:b/>
          <w:bCs/>
        </w:rPr>
        <w:t>Wykonawca</w:t>
      </w:r>
      <w:r>
        <w:t xml:space="preserve">. </w:t>
      </w:r>
    </w:p>
    <w:p w14:paraId="30739963" w14:textId="42875709" w:rsidR="00B73414" w:rsidRDefault="009A760E" w:rsidP="00B73414">
      <w:pPr>
        <w:pStyle w:val="Akapitzlist"/>
        <w:numPr>
          <w:ilvl w:val="1"/>
          <w:numId w:val="3"/>
        </w:numPr>
      </w:pPr>
      <w:r>
        <w:t xml:space="preserve">Wykonawca musi mieć podpisaną z </w:t>
      </w:r>
      <w:r w:rsidR="00B73414">
        <w:t xml:space="preserve">HPM </w:t>
      </w:r>
      <w:r w:rsidR="000F62C8">
        <w:t xml:space="preserve">dokument </w:t>
      </w:r>
      <w:r w:rsidR="00B73414">
        <w:t>NDA</w:t>
      </w:r>
      <w:r>
        <w:t xml:space="preserve">. </w:t>
      </w:r>
    </w:p>
    <w:p w14:paraId="166B8CDC" w14:textId="706AECD7" w:rsidR="00B73414" w:rsidRDefault="009A760E" w:rsidP="00B73414">
      <w:pPr>
        <w:pStyle w:val="Akapitzlist"/>
        <w:numPr>
          <w:ilvl w:val="0"/>
          <w:numId w:val="3"/>
        </w:numPr>
      </w:pPr>
      <w:r>
        <w:t>Wykonawca przejmie pełną odpowiedzialność za:</w:t>
      </w:r>
    </w:p>
    <w:p w14:paraId="727E48A5" w14:textId="3170D1AB" w:rsidR="00B73414" w:rsidRDefault="00B73414" w:rsidP="00B73414">
      <w:pPr>
        <w:pStyle w:val="Akapitzlist"/>
        <w:ind w:left="1416"/>
      </w:pPr>
      <w:r>
        <w:t xml:space="preserve">a. </w:t>
      </w:r>
      <w:r w:rsidR="009A760E">
        <w:t xml:space="preserve"> Wykonanie</w:t>
      </w:r>
    </w:p>
    <w:p w14:paraId="5E8BBA24" w14:textId="77777777" w:rsidR="00B73414" w:rsidRDefault="00B73414" w:rsidP="00B73414">
      <w:pPr>
        <w:pStyle w:val="Akapitzlist"/>
        <w:ind w:left="1416"/>
      </w:pPr>
      <w:r>
        <w:t xml:space="preserve">b. </w:t>
      </w:r>
      <w:r w:rsidR="009A760E">
        <w:t xml:space="preserve"> Montaż oraz uruchomienie przedmiotu zamówienia </w:t>
      </w:r>
    </w:p>
    <w:p w14:paraId="47450A38" w14:textId="07D8860D" w:rsidR="00B73414" w:rsidRDefault="009A760E" w:rsidP="00B73414">
      <w:pPr>
        <w:pStyle w:val="Akapitzlist"/>
        <w:ind w:left="1416"/>
      </w:pPr>
      <w:r>
        <w:t>c</w:t>
      </w:r>
      <w:r w:rsidR="000F62C8">
        <w:t>.</w:t>
      </w:r>
      <w:r>
        <w:t xml:space="preserve"> </w:t>
      </w:r>
      <w:r w:rsidR="000F62C8">
        <w:t xml:space="preserve">  </w:t>
      </w:r>
      <w:r>
        <w:t xml:space="preserve">Nadzór powykonawczy </w:t>
      </w:r>
    </w:p>
    <w:p w14:paraId="29B149B8" w14:textId="77777777" w:rsidR="00BA36AF" w:rsidRDefault="009A760E" w:rsidP="00452431">
      <w:pPr>
        <w:pStyle w:val="Akapitzlist"/>
        <w:numPr>
          <w:ilvl w:val="0"/>
          <w:numId w:val="3"/>
        </w:numPr>
        <w:jc w:val="both"/>
      </w:pPr>
      <w:r>
        <w:t xml:space="preserve">Wyrób będący rezultatem niniejszego zamówienia musi być zgodny z niniejszą specyfikacją i wszystkimi wskazanymi przez </w:t>
      </w:r>
      <w:r w:rsidR="00BA36AF">
        <w:t>HPM</w:t>
      </w:r>
      <w:r>
        <w:t xml:space="preserve"> innymi specyfikacjami, projektami i rysunkami. Wykonawca musi poinformować </w:t>
      </w:r>
      <w:r w:rsidR="00BA36AF">
        <w:t>HPM</w:t>
      </w:r>
      <w:r>
        <w:t xml:space="preserve"> na piśmie o każdej niezgodności z niniejszą specyfikacją i rysunkami. Wykonawca powinien przedstawić </w:t>
      </w:r>
      <w:r w:rsidR="00BA36AF">
        <w:t>HPM</w:t>
      </w:r>
      <w:r>
        <w:t xml:space="preserve"> alternatywne rozwiązania umożliwiające realizację niniejszej specyfikacji. </w:t>
      </w:r>
      <w:r w:rsidR="00BA36AF">
        <w:t>HPM</w:t>
      </w:r>
      <w:r>
        <w:t xml:space="preserve"> musi wyrazić pisemną zgodę na każdy wyjątek od niniejszej specyfikacji przed rozpoczęciem prac związanych z zamówieniem. </w:t>
      </w:r>
      <w:r w:rsidR="00BA36AF">
        <w:t xml:space="preserve"> </w:t>
      </w:r>
    </w:p>
    <w:p w14:paraId="63BF8453" w14:textId="77777777" w:rsidR="00BA36AF" w:rsidRDefault="009A760E" w:rsidP="00452431">
      <w:pPr>
        <w:pStyle w:val="Akapitzlist"/>
        <w:numPr>
          <w:ilvl w:val="0"/>
          <w:numId w:val="3"/>
        </w:numPr>
        <w:jc w:val="both"/>
      </w:pPr>
      <w:r>
        <w:t xml:space="preserve">Niniejsza specyfikacja, wymagane materiały, specyfikacje urządzeń oraz rysunki muszą być ze sobą zgodne. Jakiekolwiek niezgodności pomiędzy specyfikacjami i rysunkami muszą być wskazane </w:t>
      </w:r>
      <w:r w:rsidR="00BA36AF">
        <w:t>HPM</w:t>
      </w:r>
      <w:r>
        <w:t xml:space="preserve"> w celu wyjaśnień. </w:t>
      </w:r>
    </w:p>
    <w:p w14:paraId="1428BB9A" w14:textId="77777777" w:rsidR="00BA36AF" w:rsidRDefault="009A760E" w:rsidP="00452431">
      <w:pPr>
        <w:pStyle w:val="Akapitzlist"/>
        <w:numPr>
          <w:ilvl w:val="0"/>
          <w:numId w:val="3"/>
        </w:numPr>
        <w:jc w:val="both"/>
      </w:pPr>
      <w:r>
        <w:t xml:space="preserve">Wykonawca może zgłaszać i ofertować wszelkie alternatywne rozwiązania techniczne, które mogą usprawnić działanie, wytrzymałość oraz utrzymanie w sprawności wyrobów będących rezultatem niniejszej specyfikacji lub jej dotyczących. </w:t>
      </w:r>
    </w:p>
    <w:p w14:paraId="558A64D4" w14:textId="77777777" w:rsidR="00BA36AF" w:rsidRDefault="009A760E" w:rsidP="00452431">
      <w:pPr>
        <w:pStyle w:val="Akapitzlist"/>
        <w:numPr>
          <w:ilvl w:val="0"/>
          <w:numId w:val="3"/>
        </w:numPr>
        <w:jc w:val="both"/>
      </w:pPr>
      <w:r>
        <w:t xml:space="preserve">Wszystkie wyroby będące rezultatem niniejszego zamówienia muszą być zaprojektowane, wykonane, zainstalowane (w zależności od zakresu zamówienia) w sposób zapewniający pełną zgodność z polskim prawem (obowiązującymi ustawami i rozporządzeniami) oraz dyrektywami i normami zharmonizowanymi obowiązującymi w Unii Europejskiej: </w:t>
      </w:r>
    </w:p>
    <w:p w14:paraId="0F0EC35A" w14:textId="77777777" w:rsidR="00BA36AF" w:rsidRDefault="009A760E" w:rsidP="00BA36AF">
      <w:pPr>
        <w:pStyle w:val="Akapitzlist"/>
      </w:pPr>
      <w:r>
        <w:lastRenderedPageBreak/>
        <w:t>a) 2006/42/WE (Dyrektywa Maszynowa),</w:t>
      </w:r>
    </w:p>
    <w:p w14:paraId="0FB48D16" w14:textId="77777777" w:rsidR="00BA36AF" w:rsidRDefault="009A760E" w:rsidP="00BA36AF">
      <w:pPr>
        <w:pStyle w:val="Akapitzlist"/>
      </w:pPr>
      <w:r>
        <w:t xml:space="preserve">b) 2009/104/WE (Dyrektywa Narzędziowa), </w:t>
      </w:r>
    </w:p>
    <w:p w14:paraId="24509D82" w14:textId="77777777" w:rsidR="00BA36AF" w:rsidRDefault="009A760E" w:rsidP="00BA36AF">
      <w:pPr>
        <w:pStyle w:val="Akapitzlist"/>
      </w:pPr>
      <w:r>
        <w:t xml:space="preserve">c) 94/9/WE (ATEX 95), d) 2006/95/WE (Dyrektywa niskonapięciowa), </w:t>
      </w:r>
    </w:p>
    <w:p w14:paraId="69FFE21C" w14:textId="77777777" w:rsidR="00BA36AF" w:rsidRDefault="009A760E" w:rsidP="00BA36AF">
      <w:pPr>
        <w:pStyle w:val="Akapitzlist"/>
      </w:pPr>
      <w:r>
        <w:t xml:space="preserve">e) 2004/108/WE (Dyrektywa kompatybilności elektromagnetycznej), </w:t>
      </w:r>
    </w:p>
    <w:p w14:paraId="3A810A7C" w14:textId="77777777" w:rsidR="00BA36AF" w:rsidRDefault="009A760E" w:rsidP="00BA36AF">
      <w:pPr>
        <w:pStyle w:val="Akapitzlist"/>
      </w:pPr>
      <w:r>
        <w:t xml:space="preserve">f) 2000/14/WE (Dyrektywa Hałasowa), </w:t>
      </w:r>
    </w:p>
    <w:p w14:paraId="4A475EA3" w14:textId="77777777" w:rsidR="00BA36AF" w:rsidRDefault="009A760E" w:rsidP="00BA36AF">
      <w:pPr>
        <w:pStyle w:val="Akapitzlist"/>
      </w:pPr>
      <w:r>
        <w:t xml:space="preserve">g) 2009/105/WE (Proste Zbiorniki Ciśnieniowe), </w:t>
      </w:r>
    </w:p>
    <w:p w14:paraId="232E13CC" w14:textId="77777777" w:rsidR="00BA36AF" w:rsidRDefault="009A760E" w:rsidP="00BA36AF">
      <w:pPr>
        <w:pStyle w:val="Akapitzlist"/>
      </w:pPr>
      <w:r>
        <w:t xml:space="preserve">h) 97/23/WE (Urządzenia ciśnieniowe i zespoły urządzeń ciśnieniowych) </w:t>
      </w:r>
    </w:p>
    <w:p w14:paraId="381373BB" w14:textId="77777777" w:rsidR="00BA36AF" w:rsidRDefault="009A760E" w:rsidP="00BA36AF">
      <w:pPr>
        <w:pStyle w:val="Akapitzlist"/>
      </w:pPr>
      <w:r>
        <w:t xml:space="preserve">i) 2009/142/WE (Urządzenia spalające paliwa gazowe) </w:t>
      </w:r>
    </w:p>
    <w:p w14:paraId="3A60CA91" w14:textId="77777777" w:rsidR="00BA36AF" w:rsidRDefault="009A760E" w:rsidP="00BA36AF">
      <w:pPr>
        <w:pStyle w:val="Akapitzlist"/>
      </w:pPr>
      <w:r>
        <w:t xml:space="preserve">j) 95/16/WE (Dźwigi i ich elementy bezpieczeństwa) </w:t>
      </w:r>
    </w:p>
    <w:p w14:paraId="1A86AF18" w14:textId="77777777" w:rsidR="00BA36AF" w:rsidRDefault="009A760E" w:rsidP="00BA36AF">
      <w:pPr>
        <w:pStyle w:val="Akapitzlist"/>
      </w:pPr>
      <w:r>
        <w:t>k) 2000/14/WE (Emisja hałasu do środowiska)</w:t>
      </w:r>
    </w:p>
    <w:p w14:paraId="053B32D2" w14:textId="77777777" w:rsidR="00BA36AF" w:rsidRDefault="009A760E" w:rsidP="00BA36AF">
      <w:pPr>
        <w:pStyle w:val="Akapitzlist"/>
      </w:pPr>
      <w:r>
        <w:t xml:space="preserve">l) 89/689/EWG (Środki ochrony indywidualnej) </w:t>
      </w:r>
    </w:p>
    <w:p w14:paraId="2712E555" w14:textId="77777777" w:rsidR="00BA36AF" w:rsidRDefault="009A760E" w:rsidP="00BA36AF">
      <w:pPr>
        <w:pStyle w:val="Akapitzlist"/>
      </w:pPr>
      <w:r>
        <w:t xml:space="preserve">m) Rozporządzenie REACH oraz ustawa o substancjach chemicznych i ich mieszaninach. </w:t>
      </w:r>
    </w:p>
    <w:p w14:paraId="39236C19" w14:textId="77777777" w:rsidR="00BA36AF" w:rsidRDefault="009A760E" w:rsidP="00BA36AF">
      <w:pPr>
        <w:pStyle w:val="Akapitzlist"/>
      </w:pPr>
      <w:r>
        <w:t xml:space="preserve">n) EN 60204: Bezpieczeństwo maszyn. Wyposażenie elektryczne maszyn. </w:t>
      </w:r>
    </w:p>
    <w:p w14:paraId="7CC3A561" w14:textId="77777777" w:rsidR="00BA36AF" w:rsidRDefault="009A760E" w:rsidP="00BA36AF">
      <w:pPr>
        <w:pStyle w:val="Akapitzlist"/>
      </w:pPr>
      <w:r>
        <w:t xml:space="preserve">o) PN-IEC 60364: Instalacje elektryczne w obiektach budowlanych. </w:t>
      </w:r>
    </w:p>
    <w:p w14:paraId="0B6C382E" w14:textId="77777777" w:rsidR="00BA36AF" w:rsidRDefault="009A760E" w:rsidP="00BA36AF">
      <w:pPr>
        <w:pStyle w:val="Akapitzlist"/>
      </w:pPr>
      <w:r>
        <w:t xml:space="preserve">p) EN ISO 12100: Centralna norma bezpieczeństwa maszyn. </w:t>
      </w:r>
    </w:p>
    <w:p w14:paraId="7DADC324" w14:textId="77777777" w:rsidR="00BA36AF" w:rsidRDefault="009A760E" w:rsidP="00BA36AF">
      <w:pPr>
        <w:pStyle w:val="Akapitzlist"/>
      </w:pPr>
      <w:r>
        <w:t xml:space="preserve">q) EN ISO 13849: Bezpieczeństwo maszyn. Elementy systemów sterowania związane z bezpieczeństwem </w:t>
      </w:r>
    </w:p>
    <w:p w14:paraId="4675035D" w14:textId="2A644D0C" w:rsidR="009A760E" w:rsidRDefault="009A760E" w:rsidP="00BA36AF">
      <w:pPr>
        <w:pStyle w:val="Akapitzlist"/>
      </w:pPr>
      <w:r>
        <w:t>r) EN/IEC 62061: Bezpieczeństwo maszyn - Bezpieczeństwo funkcjonalne elektrycznych, elektronicznych i programowalnych elektronicznych systemów sterowania związanych z bezpieczeństwem,</w:t>
      </w:r>
    </w:p>
    <w:p w14:paraId="40C16838" w14:textId="77777777" w:rsidR="00BC66C5" w:rsidRDefault="00BC66C5" w:rsidP="00BA36AF">
      <w:pPr>
        <w:pStyle w:val="Akapitzlist"/>
      </w:pPr>
      <w:r>
        <w:t xml:space="preserve">s) EN/IEC 61508: Bezpieczeństwo funkcjonalne związanych z bezpieczeństwem systemów elektrycznych/elektronicznych/programowalnych systemów elektronicznych </w:t>
      </w:r>
    </w:p>
    <w:p w14:paraId="50F89DE3" w14:textId="77777777" w:rsidR="00BC66C5" w:rsidRDefault="00BC66C5" w:rsidP="00BA36AF">
      <w:pPr>
        <w:pStyle w:val="Akapitzlist"/>
      </w:pPr>
      <w:r>
        <w:t xml:space="preserve">t) EN 60947-5: Przekaźniki Niskonapięciowe, </w:t>
      </w:r>
    </w:p>
    <w:p w14:paraId="64EC8BF1" w14:textId="6481C175" w:rsidR="00BC66C5" w:rsidRDefault="00BC66C5" w:rsidP="00BA36AF">
      <w:pPr>
        <w:pStyle w:val="Akapitzlist"/>
      </w:pPr>
      <w:r>
        <w:t>u) ISO 19973 (</w:t>
      </w:r>
      <w:proofErr w:type="spellStart"/>
      <w:r>
        <w:t>Pneumatic</w:t>
      </w:r>
      <w:proofErr w:type="spellEnd"/>
      <w:r>
        <w:t xml:space="preserve"> Fluid Power); </w:t>
      </w:r>
    </w:p>
    <w:p w14:paraId="60E7845D" w14:textId="2CCDBBFA" w:rsidR="00BC66C5" w:rsidRDefault="00BC66C5" w:rsidP="00BA36AF">
      <w:pPr>
        <w:pStyle w:val="Akapitzlist"/>
      </w:pPr>
    </w:p>
    <w:p w14:paraId="6BB137A4" w14:textId="47F76BE1" w:rsidR="00BC66C5" w:rsidRDefault="00BC66C5" w:rsidP="00BA36AF">
      <w:pPr>
        <w:pStyle w:val="Akapitzlist"/>
      </w:pPr>
      <w:r>
        <w:t>oraz innymi wymaganiami, które muszą spełniać maszyny, aby mogły zostać oznaczone znakiem CE i wprowadzone na rynek europejski. Spełnione muszą zostać jednocześnie warunki techniczne wymagane przez Urząd Dozoru Technicznego, jeśli takie elementy są częścią zamówienia.</w:t>
      </w:r>
    </w:p>
    <w:p w14:paraId="79F27332" w14:textId="653A4AE9" w:rsidR="00BC66C5" w:rsidRDefault="00BC66C5" w:rsidP="00BA36AF">
      <w:pPr>
        <w:pStyle w:val="Akapitzlist"/>
      </w:pPr>
    </w:p>
    <w:p w14:paraId="0858AF54" w14:textId="65392A3C" w:rsidR="00BC66C5" w:rsidRDefault="00BC66C5" w:rsidP="00BC66C5">
      <w:pPr>
        <w:pStyle w:val="Akapitzlist"/>
        <w:numPr>
          <w:ilvl w:val="0"/>
          <w:numId w:val="3"/>
        </w:numPr>
      </w:pPr>
      <w:r>
        <w:t>Wszelkie zastosowane i obowiązujące normy muszą być wyszczególnione w wystawionej Deklaracji Zgodności WE, a wyrób będący rezultatem niniejszego zamówienia powinien być oznaczony znakiem CE.</w:t>
      </w:r>
    </w:p>
    <w:p w14:paraId="5D163343" w14:textId="0C3972D8" w:rsidR="00BC66C5" w:rsidRDefault="00BC66C5" w:rsidP="00BC66C5">
      <w:pPr>
        <w:pStyle w:val="Akapitzlist"/>
        <w:numPr>
          <w:ilvl w:val="0"/>
          <w:numId w:val="3"/>
        </w:numPr>
      </w:pPr>
      <w:r>
        <w:t>Wszystkie zakupowe elementy i podzespoły zainstalowane lub dostarczone oddzielnie muszą być dopuszczone do obrotu na rynkach Unii Europejskiej.</w:t>
      </w:r>
    </w:p>
    <w:p w14:paraId="12F78A09" w14:textId="7DB1EDF7" w:rsidR="00BC66C5" w:rsidRDefault="00BC66C5" w:rsidP="00BC66C5">
      <w:pPr>
        <w:pStyle w:val="Akapitzlist"/>
        <w:numPr>
          <w:ilvl w:val="0"/>
          <w:numId w:val="3"/>
        </w:numPr>
      </w:pPr>
      <w:r>
        <w:t>Wyrób będący rezultatem niniejszego zamówienia musi być zaprojektowany i wykonany w taki sposób, aby nadawał się do wykonywania swojej funkcji oraz mógł być obsługiwany, regulowany i konserwowany bez narażenia osób na ryzyko w trakcie wykonywania tych czynności w przewidzianych warunkach, ale także z uwzględnieniem możliwego do przewidzenia jego niewłaściwego użycia.</w:t>
      </w:r>
    </w:p>
    <w:p w14:paraId="2E032374" w14:textId="68104154" w:rsidR="00BC66C5" w:rsidRDefault="00BC66C5" w:rsidP="00BC66C5">
      <w:pPr>
        <w:pStyle w:val="Akapitzlist"/>
        <w:numPr>
          <w:ilvl w:val="0"/>
          <w:numId w:val="3"/>
        </w:numPr>
      </w:pPr>
      <w:r>
        <w:t xml:space="preserve">Oferty przedstawione przez Wykonawcę muszą zawierać co najmniej: </w:t>
      </w:r>
    </w:p>
    <w:p w14:paraId="52A73118" w14:textId="3B7B4235" w:rsidR="00BC66C5" w:rsidRDefault="00BC66C5" w:rsidP="004139F0">
      <w:pPr>
        <w:pStyle w:val="Akapitzlist"/>
        <w:numPr>
          <w:ilvl w:val="0"/>
          <w:numId w:val="6"/>
        </w:numPr>
      </w:pPr>
      <w:r>
        <w:t>Szczegóły zamówienia z dokładnością umożliwiającą ocenę porównawczą ofert. Wycena przedmiotu wykonania musi być przedstawiona według poniższych wytycznych:</w:t>
      </w:r>
    </w:p>
    <w:p w14:paraId="4004CE23" w14:textId="04EA134A" w:rsidR="00BC66C5" w:rsidRDefault="00BC66C5" w:rsidP="00BC66C5">
      <w:pPr>
        <w:pStyle w:val="Akapitzlist"/>
        <w:ind w:left="1080"/>
      </w:pPr>
      <w:r>
        <w:t xml:space="preserve">- Projekt </w:t>
      </w:r>
    </w:p>
    <w:p w14:paraId="22F2BDF3" w14:textId="58007C98" w:rsidR="00BC66C5" w:rsidRDefault="00BC66C5" w:rsidP="00BC66C5">
      <w:pPr>
        <w:pStyle w:val="Akapitzlist"/>
        <w:ind w:left="1080"/>
      </w:pPr>
      <w:r>
        <w:t>- Wykonanie urządzeń</w:t>
      </w:r>
    </w:p>
    <w:p w14:paraId="25B8C171" w14:textId="1384D3F9" w:rsidR="00BC66C5" w:rsidRDefault="00BC66C5" w:rsidP="00BC66C5">
      <w:pPr>
        <w:pStyle w:val="Akapitzlist"/>
        <w:ind w:left="1080"/>
      </w:pPr>
      <w:r>
        <w:t>- Transport</w:t>
      </w:r>
    </w:p>
    <w:p w14:paraId="69C4B605" w14:textId="0F97D1EB" w:rsidR="00BC66C5" w:rsidRDefault="00BC66C5" w:rsidP="00BC66C5">
      <w:pPr>
        <w:pStyle w:val="Akapitzlist"/>
        <w:ind w:left="1080"/>
      </w:pPr>
      <w:r>
        <w:t>- Montaż mechaniczny</w:t>
      </w:r>
    </w:p>
    <w:p w14:paraId="4E5CCDF5" w14:textId="272B8917" w:rsidR="00BC66C5" w:rsidRDefault="00BC66C5" w:rsidP="00BC66C5">
      <w:pPr>
        <w:pStyle w:val="Akapitzlist"/>
        <w:ind w:left="1080"/>
      </w:pPr>
      <w:r>
        <w:t>- Montaż elektryczny</w:t>
      </w:r>
    </w:p>
    <w:p w14:paraId="4C3702A8" w14:textId="624FDB08" w:rsidR="00BC66C5" w:rsidRDefault="00BC66C5" w:rsidP="00BC66C5">
      <w:pPr>
        <w:pStyle w:val="Akapitzlist"/>
        <w:ind w:left="1080"/>
      </w:pPr>
      <w:r>
        <w:lastRenderedPageBreak/>
        <w:t>- Oprogramowanie</w:t>
      </w:r>
    </w:p>
    <w:p w14:paraId="13E77838" w14:textId="1BA64772" w:rsidR="00093687" w:rsidRDefault="00BC66C5" w:rsidP="004139F0">
      <w:pPr>
        <w:pStyle w:val="Akapitzlist"/>
        <w:ind w:left="1080"/>
      </w:pPr>
      <w:r>
        <w:t xml:space="preserve">- </w:t>
      </w:r>
      <w:r w:rsidR="00093687">
        <w:t>Nadzór powykonawczy</w:t>
      </w:r>
    </w:p>
    <w:p w14:paraId="1AD4B6D8" w14:textId="05FAD37A" w:rsidR="004139F0" w:rsidRDefault="004139F0" w:rsidP="004139F0">
      <w:pPr>
        <w:pStyle w:val="Akapitzlist"/>
        <w:numPr>
          <w:ilvl w:val="0"/>
          <w:numId w:val="3"/>
        </w:numPr>
      </w:pPr>
      <w:r>
        <w:t xml:space="preserve">Wymagania dotyczące Wykonawcy: </w:t>
      </w:r>
    </w:p>
    <w:p w14:paraId="74ABC92F" w14:textId="0B534E1A" w:rsidR="00727747" w:rsidRDefault="00727747" w:rsidP="004139F0">
      <w:pPr>
        <w:pStyle w:val="Akapitzlist"/>
        <w:numPr>
          <w:ilvl w:val="0"/>
          <w:numId w:val="7"/>
        </w:numPr>
      </w:pPr>
      <w:r>
        <w:t>Wykonawca zobowiązuje się zatrudnić do wykonania zadania tylko uzgodnionych z HPM podwykonawców</w:t>
      </w:r>
      <w:r w:rsidR="003024AD">
        <w:t>.</w:t>
      </w:r>
    </w:p>
    <w:p w14:paraId="6EFF6B3F" w14:textId="4646B6CF" w:rsidR="00727747" w:rsidRDefault="00727747" w:rsidP="004139F0">
      <w:pPr>
        <w:pStyle w:val="Akapitzlist"/>
        <w:numPr>
          <w:ilvl w:val="0"/>
          <w:numId w:val="7"/>
        </w:numPr>
      </w:pPr>
      <w:r>
        <w:t>Wykonawca zagwarantuje niezmienny skład zespołu projektowego w całym okresie jego realizacji (wg wymagań inżyniera prowadzącego), który przedstawi w ciągu 2 tygodnia od otrzymania zamówienia</w:t>
      </w:r>
    </w:p>
    <w:p w14:paraId="21DFECEE" w14:textId="10E89C32" w:rsidR="00727747" w:rsidRDefault="00727747" w:rsidP="004139F0">
      <w:pPr>
        <w:pStyle w:val="Akapitzlist"/>
        <w:numPr>
          <w:ilvl w:val="0"/>
          <w:numId w:val="7"/>
        </w:numPr>
      </w:pPr>
      <w:r>
        <w:t xml:space="preserve">Wykonawca </w:t>
      </w:r>
      <w:r w:rsidR="00C26157">
        <w:t xml:space="preserve">na etapie realizacji zamówienia </w:t>
      </w:r>
      <w:r>
        <w:t>zobowiązuje się wykazać znajomością – potwierdzoną certyfikatem – umiejętności programowania stosownych sterowników, paneli i systemów</w:t>
      </w:r>
      <w:r w:rsidR="00C26157">
        <w:t xml:space="preserve"> (SCADA)</w:t>
      </w:r>
      <w:r>
        <w:t xml:space="preserve">. </w:t>
      </w:r>
    </w:p>
    <w:p w14:paraId="5099ABC3" w14:textId="4CD2E060" w:rsidR="00727747" w:rsidRDefault="00727747" w:rsidP="004139F0">
      <w:pPr>
        <w:pStyle w:val="Akapitzlist"/>
        <w:numPr>
          <w:ilvl w:val="0"/>
          <w:numId w:val="7"/>
        </w:numPr>
      </w:pPr>
      <w:r>
        <w:t>Wykonawca zagwarantuje wykonanie pełnego zakresu prac w terminie zawartym w harmonogramie</w:t>
      </w:r>
      <w:r w:rsidR="000F62C8">
        <w:t>, a</w:t>
      </w:r>
      <w:r>
        <w:t xml:space="preserve"> także rzetelne raportowanie postępu prac w trakcie jego realizacji z częstotliwością określoną przez inżyniera prowadzącego. </w:t>
      </w:r>
    </w:p>
    <w:p w14:paraId="5C9D6F6F" w14:textId="39A867C6" w:rsidR="00727747" w:rsidRDefault="00727747" w:rsidP="003024AD">
      <w:r>
        <w:t>Niespełnienie któregoś z powyższych punktów będzie skutkowało nieważnością złożonej oferty, a w czasie realizacji jej unieważnieniem lub karami umownymi.</w:t>
      </w:r>
    </w:p>
    <w:p w14:paraId="20D3C5AB" w14:textId="77777777" w:rsidR="00AF6DB1" w:rsidRDefault="00AF6DB1" w:rsidP="00727747">
      <w:pPr>
        <w:ind w:left="851" w:firstLine="360"/>
      </w:pPr>
    </w:p>
    <w:p w14:paraId="73D36AD3" w14:textId="304392E4" w:rsidR="007B0A6C" w:rsidRDefault="007B0A6C" w:rsidP="007B0A6C">
      <w:pPr>
        <w:pStyle w:val="Nagwek1"/>
      </w:pPr>
      <w:bookmarkStart w:id="1" w:name="_Toc104353224"/>
      <w:r>
        <w:t>CEL ZAMÓWIENIA</w:t>
      </w:r>
      <w:bookmarkEnd w:id="1"/>
      <w:r>
        <w:t xml:space="preserve"> </w:t>
      </w:r>
    </w:p>
    <w:p w14:paraId="72232071" w14:textId="1570BCA1" w:rsidR="004F69C6" w:rsidRDefault="0099173A" w:rsidP="00F0311B">
      <w:pPr>
        <w:jc w:val="both"/>
      </w:pPr>
      <w:r>
        <w:t xml:space="preserve">Celem </w:t>
      </w:r>
      <w:r w:rsidR="00F0311B">
        <w:t xml:space="preserve">zamówienia jest </w:t>
      </w:r>
      <w:r w:rsidR="006678A7">
        <w:t xml:space="preserve"> wykonanie nadrzędnego systemu sterowania i wizualizacji maszyn i urządzeń technologicznych</w:t>
      </w:r>
      <w:r w:rsidR="00377201">
        <w:t xml:space="preserve"> w zakładzie produkcyjnym HiProMine. </w:t>
      </w:r>
    </w:p>
    <w:p w14:paraId="5003E09F" w14:textId="3FCD195D" w:rsidR="004F69C6" w:rsidRDefault="004F69C6" w:rsidP="007B0A6C"/>
    <w:p w14:paraId="0EEC5B7B" w14:textId="5ED46400" w:rsidR="007B0A6C" w:rsidRDefault="007B0A6C" w:rsidP="007B0A6C">
      <w:pPr>
        <w:pStyle w:val="Nagwek1"/>
      </w:pPr>
      <w:bookmarkStart w:id="2" w:name="_Toc104353225"/>
      <w:r>
        <w:t>ZAKRES</w:t>
      </w:r>
      <w:bookmarkEnd w:id="2"/>
      <w:r>
        <w:t xml:space="preserve"> </w:t>
      </w:r>
    </w:p>
    <w:p w14:paraId="642D3C91" w14:textId="772C27FB" w:rsidR="004C2C7F" w:rsidRDefault="00AF6DB1" w:rsidP="007B0A6C">
      <w:r>
        <w:t xml:space="preserve">Zakresem prac jest wykonanie nadrzędnego systemu sterowania procesami produkcyjnymi w fabryce białka owadziego HiProMine. </w:t>
      </w:r>
    </w:p>
    <w:p w14:paraId="7406D160" w14:textId="449B4031" w:rsidR="007759BA" w:rsidRDefault="007759BA" w:rsidP="007B0A6C"/>
    <w:p w14:paraId="1C9ECD72" w14:textId="69029EA8" w:rsidR="007759BA" w:rsidRDefault="007759BA" w:rsidP="007759BA">
      <w:r>
        <w:t xml:space="preserve">Zakres obszaru </w:t>
      </w:r>
      <w:proofErr w:type="spellStart"/>
      <w:r>
        <w:t>postprodukcyjnego</w:t>
      </w:r>
      <w:proofErr w:type="spellEnd"/>
      <w:r>
        <w:t xml:space="preserve"> zakłada kompletne podłączenie elektryczne wszystkich przenośników instalację tras kablowych, montaż niezbędnych szaf elektrycznych, integrację maszyn znajdujących się w węźle przesiewacza oraz przygotowanie automatyki niezbędnej do sterowania obszarem. </w:t>
      </w:r>
    </w:p>
    <w:p w14:paraId="133C62B6" w14:textId="77777777" w:rsidR="007759BA" w:rsidRDefault="007759BA" w:rsidP="007759BA">
      <w:r>
        <w:t xml:space="preserve"> </w:t>
      </w:r>
    </w:p>
    <w:p w14:paraId="0EA3A0DC" w14:textId="087CF68F" w:rsidR="007759BA" w:rsidRDefault="007759BA" w:rsidP="007759BA">
      <w:pPr>
        <w:pStyle w:val="Akapitzlist"/>
        <w:numPr>
          <w:ilvl w:val="0"/>
          <w:numId w:val="25"/>
        </w:numPr>
      </w:pPr>
      <w:r>
        <w:t xml:space="preserve">Odbiór towaru z regału – Przenośniki mające możliwość pracy w obu kierunkach w zależności na którą magistralę chcemy przekierować towar – 36 napędów. </w:t>
      </w:r>
    </w:p>
    <w:p w14:paraId="365EC900" w14:textId="7282AAC1" w:rsidR="007759BA" w:rsidRDefault="007759BA" w:rsidP="007759BA">
      <w:pPr>
        <w:pStyle w:val="Akapitzlist"/>
        <w:numPr>
          <w:ilvl w:val="0"/>
          <w:numId w:val="25"/>
        </w:numPr>
      </w:pPr>
      <w:r>
        <w:t>Transport na dalszą magistrale – Przenośniki umożliwiające jednokierunkowy transport towaru z transportera odbiorowego na dalszą magistralę – 24 napędów</w:t>
      </w:r>
    </w:p>
    <w:p w14:paraId="6D51DDDD" w14:textId="6FEB6847" w:rsidR="007759BA" w:rsidRDefault="007759BA" w:rsidP="007759BA">
      <w:pPr>
        <w:pStyle w:val="Akapitzlist"/>
        <w:numPr>
          <w:ilvl w:val="0"/>
          <w:numId w:val="25"/>
        </w:numPr>
      </w:pPr>
      <w:r>
        <w:t>Transportery magistrali – Przenośniki umożliwiające transport zbiorczy towaru z regałów do transporterów przed węzłem przesiewacza - falownik (</w:t>
      </w:r>
      <w:proofErr w:type="spellStart"/>
      <w:r>
        <w:t>soft</w:t>
      </w:r>
      <w:proofErr w:type="spellEnd"/>
      <w:r>
        <w:t xml:space="preserve"> start) (4 kW) – 4 napędy</w:t>
      </w:r>
    </w:p>
    <w:p w14:paraId="78B95175" w14:textId="77777777" w:rsidR="007759BA" w:rsidRDefault="007759BA" w:rsidP="007759BA">
      <w:pPr>
        <w:pStyle w:val="Akapitzlist"/>
        <w:numPr>
          <w:ilvl w:val="0"/>
          <w:numId w:val="25"/>
        </w:numPr>
      </w:pPr>
      <w:r>
        <w:t>Transportery rozdzielające na węzeł – Przenośniki umożliwiające transport towaru z magistrali na dany węzeł - dwustronne działanie – falownik (2 kW) – 2 szt.</w:t>
      </w:r>
    </w:p>
    <w:p w14:paraId="7876DE2D" w14:textId="77777777" w:rsidR="007759BA" w:rsidRDefault="007759BA" w:rsidP="007759BA">
      <w:pPr>
        <w:pStyle w:val="Akapitzlist"/>
        <w:numPr>
          <w:ilvl w:val="0"/>
          <w:numId w:val="25"/>
        </w:numPr>
      </w:pPr>
      <w:r>
        <w:t>Transporter wznoszący / przez ścianę - Transport towaru do węzła – falownik (2 kW) – 2 szt.</w:t>
      </w:r>
    </w:p>
    <w:p w14:paraId="03365B1D" w14:textId="77777777" w:rsidR="007759BA" w:rsidRDefault="007759BA" w:rsidP="007759BA">
      <w:pPr>
        <w:pStyle w:val="Akapitzlist"/>
        <w:numPr>
          <w:ilvl w:val="0"/>
          <w:numId w:val="25"/>
        </w:numPr>
      </w:pPr>
      <w:r>
        <w:t>Transport do bębna - Transport towaru do bębna przesiewacza – falownik (2 kW) – 2 szt.</w:t>
      </w:r>
    </w:p>
    <w:p w14:paraId="57521743" w14:textId="77777777" w:rsidR="007759BA" w:rsidRDefault="007759BA" w:rsidP="007759BA">
      <w:pPr>
        <w:pStyle w:val="Akapitzlist"/>
        <w:numPr>
          <w:ilvl w:val="0"/>
          <w:numId w:val="25"/>
        </w:numPr>
      </w:pPr>
      <w:r>
        <w:t>Integracja bębna przesiewacza - jeden falownik i jeden stycznik (2,2 kW) – 2 szt.</w:t>
      </w:r>
    </w:p>
    <w:p w14:paraId="03535A3C" w14:textId="77777777" w:rsidR="007759BA" w:rsidRDefault="007759BA" w:rsidP="007759BA">
      <w:pPr>
        <w:pStyle w:val="Akapitzlist"/>
        <w:numPr>
          <w:ilvl w:val="0"/>
          <w:numId w:val="25"/>
        </w:numPr>
      </w:pPr>
      <w:r>
        <w:lastRenderedPageBreak/>
        <w:t>Integracja przesiewacza zataczającego – (4 kW) – 2 szt.</w:t>
      </w:r>
    </w:p>
    <w:p w14:paraId="2FB961B3" w14:textId="37925314" w:rsidR="007759BA" w:rsidRDefault="007759BA" w:rsidP="007759BA">
      <w:pPr>
        <w:pStyle w:val="Akapitzlist"/>
        <w:numPr>
          <w:ilvl w:val="0"/>
          <w:numId w:val="25"/>
        </w:numPr>
      </w:pPr>
      <w:r>
        <w:t>Bypass węzłów – przenośnik umożliwiający transport odsianych larw pomiędzy węzłami technologii mokrej oraz suchej. Umożliwienie przesyłu z dowolnego przesiewacza na dowolną technologię  (2 kW) – 2 szt.</w:t>
      </w:r>
    </w:p>
    <w:p w14:paraId="75E5E8D1" w14:textId="77777777" w:rsidR="007759BA" w:rsidRDefault="007759BA" w:rsidP="007759BA">
      <w:pPr>
        <w:pStyle w:val="Akapitzlist"/>
        <w:numPr>
          <w:ilvl w:val="0"/>
          <w:numId w:val="25"/>
        </w:numPr>
      </w:pPr>
      <w:r>
        <w:t xml:space="preserve">Transport larwy do technologii - Odbiór z przesiewaczy i transport do technologii (1,5 kW) </w:t>
      </w:r>
      <w:r>
        <w:br/>
        <w:t>– 4 szt.</w:t>
      </w:r>
    </w:p>
    <w:p w14:paraId="10219423" w14:textId="6BD8A8F9" w:rsidR="007759BA" w:rsidRDefault="007759BA" w:rsidP="007759BA">
      <w:pPr>
        <w:pStyle w:val="Akapitzlist"/>
        <w:numPr>
          <w:ilvl w:val="0"/>
          <w:numId w:val="25"/>
        </w:numPr>
      </w:pPr>
      <w:r>
        <w:t xml:space="preserve">Transport nawozu z przesiewaczy na magistralę nawozową – Przenośniku umożlwiające odbiór materiału z przesiewaczy i transport(1,5 kW) – 4 szt. </w:t>
      </w:r>
    </w:p>
    <w:p w14:paraId="733CC014" w14:textId="77777777" w:rsidR="007759BA" w:rsidRDefault="007759BA" w:rsidP="007759BA">
      <w:pPr>
        <w:pStyle w:val="Akapitzlist"/>
        <w:numPr>
          <w:ilvl w:val="0"/>
          <w:numId w:val="25"/>
        </w:numPr>
      </w:pPr>
      <w:r>
        <w:t>Rozdział przepływu nawozu - Przenośnik rozdzielający przepływ dwukierunkowy – stycznik (1 kW) – 1 szt.</w:t>
      </w:r>
    </w:p>
    <w:p w14:paraId="7CA1B666" w14:textId="77777777" w:rsidR="007759BA" w:rsidRDefault="007759BA" w:rsidP="007759BA">
      <w:pPr>
        <w:pStyle w:val="Akapitzlist"/>
        <w:numPr>
          <w:ilvl w:val="0"/>
          <w:numId w:val="25"/>
        </w:numPr>
      </w:pPr>
      <w:r>
        <w:t>Przenośnik wznoszący - Transport nawozu do technologii przetwórstwa nawozu - jednokierunkowy – stycznik (1 kW) – 1 szt.</w:t>
      </w:r>
    </w:p>
    <w:p w14:paraId="62DF6010" w14:textId="6AADFCCB" w:rsidR="007759BA" w:rsidRDefault="007759BA" w:rsidP="007759BA">
      <w:pPr>
        <w:pStyle w:val="Akapitzlist"/>
        <w:numPr>
          <w:ilvl w:val="0"/>
          <w:numId w:val="25"/>
        </w:numPr>
      </w:pPr>
      <w:r>
        <w:t>Przenośniki nawozowe - Przenośniki jednokierunkowe -– styczniki (2 kW) – 7 szt.</w:t>
      </w:r>
    </w:p>
    <w:p w14:paraId="2E752D24" w14:textId="5873B9DB" w:rsidR="007759BA" w:rsidRDefault="007759BA" w:rsidP="007759BA">
      <w:pPr>
        <w:pStyle w:val="Akapitzlist"/>
        <w:numPr>
          <w:ilvl w:val="0"/>
          <w:numId w:val="25"/>
        </w:numPr>
      </w:pPr>
      <w:r>
        <w:t>Przenośniki po procesie mrożenia - Transport larwy do stacji big bag (2 kW) – 2 szt.</w:t>
      </w:r>
    </w:p>
    <w:p w14:paraId="12FA7C6F" w14:textId="1717E0A7" w:rsidR="007759BA" w:rsidRDefault="007759BA" w:rsidP="007B0A6C">
      <w:r>
        <w:t xml:space="preserve">Wszystkie napędy oraz zakresy prac związane z wizualizowaniem oraz kompletnym sterowaniem napędami musi być wizualizowany przed nadrzędny system SCADA. </w:t>
      </w:r>
      <w:r w:rsidR="00DA0506">
        <w:t>Dostarczenie nadrzędnego punktu kontrolnego wyposażonego w stację roboczą oraz 4 mobilne punkty sterowania.</w:t>
      </w:r>
    </w:p>
    <w:p w14:paraId="61916D28" w14:textId="77777777" w:rsidR="00E72D3C" w:rsidRPr="00E72D3C" w:rsidRDefault="00E72D3C" w:rsidP="00E72D3C">
      <w:r w:rsidRPr="00E72D3C">
        <w:t>Wymagania dotyczące systemu wizualizacji procesów produkcyjnych SCADA:</w:t>
      </w:r>
    </w:p>
    <w:p w14:paraId="23158381" w14:textId="26D4C8FA" w:rsidR="00E72D3C" w:rsidRPr="00E72D3C" w:rsidRDefault="00E72D3C" w:rsidP="00E72D3C">
      <w:pPr>
        <w:pStyle w:val="Akapitzlist"/>
        <w:numPr>
          <w:ilvl w:val="1"/>
          <w:numId w:val="3"/>
        </w:numPr>
      </w:pPr>
      <w:r w:rsidRPr="00E72D3C">
        <w:t>Integracja w jednym systemie wszystkich danych produkcyjnych.</w:t>
      </w:r>
    </w:p>
    <w:p w14:paraId="0B62BBE4" w14:textId="3AADF4C8" w:rsidR="00E72D3C" w:rsidRPr="00E72D3C" w:rsidRDefault="00E72D3C" w:rsidP="00E72D3C">
      <w:pPr>
        <w:pStyle w:val="Akapitzlist"/>
        <w:numPr>
          <w:ilvl w:val="1"/>
          <w:numId w:val="3"/>
        </w:numPr>
      </w:pPr>
      <w:r w:rsidRPr="00E72D3C">
        <w:t>Możliwość stworzenia i ustanowienia standardów w zakresie systemów klasy HMI/SCADA/MES/</w:t>
      </w:r>
      <w:proofErr w:type="spellStart"/>
      <w:r w:rsidRPr="00E72D3C">
        <w:t>IIoT</w:t>
      </w:r>
      <w:proofErr w:type="spellEnd"/>
    </w:p>
    <w:p w14:paraId="65CECD01" w14:textId="6EC383F2" w:rsidR="00E72D3C" w:rsidRPr="00E72D3C" w:rsidRDefault="00E72D3C" w:rsidP="00E72D3C">
      <w:pPr>
        <w:pStyle w:val="Akapitzlist"/>
        <w:numPr>
          <w:ilvl w:val="1"/>
          <w:numId w:val="3"/>
        </w:numPr>
      </w:pPr>
      <w:r w:rsidRPr="00E72D3C">
        <w:t>Możliwość agregacji i analizy danych historycznych</w:t>
      </w:r>
    </w:p>
    <w:p w14:paraId="499B7B86" w14:textId="4EE65E77" w:rsidR="00E72D3C" w:rsidRPr="00E72D3C" w:rsidRDefault="00E72D3C" w:rsidP="00E72D3C">
      <w:pPr>
        <w:pStyle w:val="Akapitzlist"/>
        <w:numPr>
          <w:ilvl w:val="1"/>
          <w:numId w:val="3"/>
        </w:numPr>
      </w:pPr>
      <w:r w:rsidRPr="00E72D3C">
        <w:t>Możliwość integracji z systemami MES i ERP</w:t>
      </w:r>
    </w:p>
    <w:p w14:paraId="6CDEAD8D" w14:textId="133AC142" w:rsidR="00E72D3C" w:rsidRPr="00E72D3C" w:rsidRDefault="00E72D3C" w:rsidP="00E72D3C">
      <w:pPr>
        <w:pStyle w:val="Akapitzlist"/>
        <w:numPr>
          <w:ilvl w:val="1"/>
          <w:numId w:val="3"/>
        </w:numPr>
      </w:pPr>
      <w:r w:rsidRPr="00E72D3C">
        <w:t>Wbudowane mechanizmy redundancji logiki aplikacji</w:t>
      </w:r>
    </w:p>
    <w:p w14:paraId="35B4ED50" w14:textId="18BE97A4" w:rsidR="00E72D3C" w:rsidRPr="00E72D3C" w:rsidRDefault="00E72D3C" w:rsidP="00E72D3C">
      <w:pPr>
        <w:pStyle w:val="Akapitzlist"/>
        <w:numPr>
          <w:ilvl w:val="1"/>
          <w:numId w:val="3"/>
        </w:numPr>
      </w:pPr>
      <w:r w:rsidRPr="00E72D3C">
        <w:t>Wbudowany mechanizm buforowania danych historycznych</w:t>
      </w:r>
    </w:p>
    <w:p w14:paraId="7900EFE6" w14:textId="37E7A616" w:rsidR="00E72D3C" w:rsidRPr="00E72D3C" w:rsidRDefault="00E72D3C" w:rsidP="00E72D3C">
      <w:pPr>
        <w:pStyle w:val="Akapitzlist"/>
        <w:numPr>
          <w:ilvl w:val="1"/>
          <w:numId w:val="3"/>
        </w:numPr>
      </w:pPr>
      <w:r w:rsidRPr="00E72D3C">
        <w:t>Możliwość diagnostyki i archiwizacji pracy wszystkich komputerów wchodzących w skład systemu z jednego stanowiska</w:t>
      </w:r>
    </w:p>
    <w:p w14:paraId="34004297" w14:textId="07091200" w:rsidR="00E72D3C" w:rsidRPr="00E72D3C" w:rsidRDefault="00E72D3C" w:rsidP="00E72D3C">
      <w:pPr>
        <w:pStyle w:val="Akapitzlist"/>
        <w:numPr>
          <w:ilvl w:val="1"/>
          <w:numId w:val="3"/>
        </w:numPr>
      </w:pPr>
      <w:r w:rsidRPr="00E72D3C">
        <w:t>Możliwość dokonywania uaktualnień wersji i uaktualnień funkcjonalnych systemu bez konieczności zatrzymywania działania logiki i wizualizacji procesów</w:t>
      </w:r>
    </w:p>
    <w:p w14:paraId="09077466" w14:textId="0795FC11" w:rsidR="00E72D3C" w:rsidRPr="00E72D3C" w:rsidRDefault="00E72D3C" w:rsidP="00E72D3C">
      <w:pPr>
        <w:pStyle w:val="Akapitzlist"/>
        <w:numPr>
          <w:ilvl w:val="1"/>
          <w:numId w:val="3"/>
        </w:numPr>
      </w:pPr>
      <w:r w:rsidRPr="00E72D3C">
        <w:t>Możliwość rozdystrybuowania aplikacji na dowolną ilość maszyn</w:t>
      </w:r>
    </w:p>
    <w:p w14:paraId="7E0922DA" w14:textId="5C188277" w:rsidR="00E72D3C" w:rsidRPr="00E72D3C" w:rsidRDefault="00E72D3C" w:rsidP="00E72D3C">
      <w:pPr>
        <w:pStyle w:val="Akapitzlist"/>
        <w:numPr>
          <w:ilvl w:val="1"/>
          <w:numId w:val="3"/>
        </w:numPr>
      </w:pPr>
      <w:r w:rsidRPr="00E72D3C">
        <w:t>Składowanie informacji historycznych dotyczących alarmów i zdarzeń w blokach danych</w:t>
      </w:r>
    </w:p>
    <w:p w14:paraId="3F8AEF12" w14:textId="10D54FD0" w:rsidR="00E72D3C" w:rsidRPr="00E72D3C" w:rsidRDefault="00E72D3C" w:rsidP="00E72D3C">
      <w:pPr>
        <w:pStyle w:val="Akapitzlist"/>
        <w:numPr>
          <w:ilvl w:val="0"/>
          <w:numId w:val="3"/>
        </w:numPr>
      </w:pPr>
      <w:r w:rsidRPr="00E72D3C">
        <w:t xml:space="preserve">Wizualizacja </w:t>
      </w:r>
      <w:proofErr w:type="spellStart"/>
      <w:r w:rsidRPr="00E72D3C">
        <w:t>wielo</w:t>
      </w:r>
      <w:proofErr w:type="spellEnd"/>
      <w:r w:rsidRPr="00E72D3C">
        <w:t>-monitorowa</w:t>
      </w:r>
    </w:p>
    <w:p w14:paraId="50025257" w14:textId="17A35D9F" w:rsidR="00E72D3C" w:rsidRPr="00E72D3C" w:rsidRDefault="00E72D3C" w:rsidP="00E72D3C">
      <w:pPr>
        <w:pStyle w:val="Akapitzlist"/>
        <w:numPr>
          <w:ilvl w:val="0"/>
          <w:numId w:val="3"/>
        </w:numPr>
      </w:pPr>
      <w:r w:rsidRPr="00E72D3C">
        <w:t xml:space="preserve">Obsługa funkcji </w:t>
      </w:r>
      <w:proofErr w:type="spellStart"/>
      <w:r w:rsidRPr="00E72D3C">
        <w:t>multi-touch</w:t>
      </w:r>
      <w:proofErr w:type="spellEnd"/>
      <w:r w:rsidRPr="00E72D3C">
        <w:t xml:space="preserve"> oraz gestów (przesuwanie, obracanie, przybliżanie) w przypadku ekranów dotykowych</w:t>
      </w:r>
    </w:p>
    <w:p w14:paraId="041DB46B" w14:textId="1142B2F7" w:rsidR="00E72D3C" w:rsidRPr="00E72D3C" w:rsidRDefault="00E72D3C" w:rsidP="00E72D3C">
      <w:pPr>
        <w:pStyle w:val="Akapitzlist"/>
        <w:numPr>
          <w:ilvl w:val="0"/>
          <w:numId w:val="3"/>
        </w:numPr>
      </w:pPr>
      <w:r w:rsidRPr="00E72D3C">
        <w:t>Pełna funkcjonalność systemu wizualizacyjnego dostępna zdalnie</w:t>
      </w:r>
    </w:p>
    <w:p w14:paraId="029F1410" w14:textId="2BEE278E" w:rsidR="00E72D3C" w:rsidRPr="00E72D3C" w:rsidRDefault="00E72D3C" w:rsidP="00E72D3C">
      <w:pPr>
        <w:pStyle w:val="Akapitzlist"/>
        <w:numPr>
          <w:ilvl w:val="0"/>
          <w:numId w:val="3"/>
        </w:numPr>
      </w:pPr>
      <w:r w:rsidRPr="00E72D3C">
        <w:t>Dostęp z poziomu dowolnej przeglądarki internetowej i z urządzenia mobilnego</w:t>
      </w:r>
    </w:p>
    <w:p w14:paraId="2BD15D37" w14:textId="550EF2D7" w:rsidR="00E72D3C" w:rsidRPr="00E72D3C" w:rsidRDefault="00E72D3C" w:rsidP="00E72D3C">
      <w:pPr>
        <w:pStyle w:val="Akapitzlist"/>
        <w:numPr>
          <w:ilvl w:val="0"/>
          <w:numId w:val="3"/>
        </w:numPr>
      </w:pPr>
      <w:r w:rsidRPr="00E72D3C">
        <w:t>Mechanizm lokalnego zbierania danych w przypadku utraty połączenia zdalnego komputera z głównym serwerem bazodanowym i przekazania ich w momencie odzyskania połączenia</w:t>
      </w:r>
    </w:p>
    <w:p w14:paraId="19F1D1B0" w14:textId="7EA0EDF5" w:rsidR="00E72D3C" w:rsidRPr="00E72D3C" w:rsidRDefault="00E72D3C" w:rsidP="00E72D3C">
      <w:pPr>
        <w:pStyle w:val="Akapitzlist"/>
        <w:numPr>
          <w:ilvl w:val="0"/>
          <w:numId w:val="3"/>
        </w:numPr>
      </w:pPr>
      <w:r w:rsidRPr="00E72D3C">
        <w:t>Możliwość rozbudowania systemu bazodanowego umożliwiająca zalogowanie co najmniej 300 000 zmiennych</w:t>
      </w:r>
    </w:p>
    <w:p w14:paraId="6D061B16" w14:textId="0B114182" w:rsidR="00E72D3C" w:rsidRPr="00E72D3C" w:rsidRDefault="00E72D3C" w:rsidP="00E72D3C">
      <w:pPr>
        <w:pStyle w:val="Akapitzlist"/>
        <w:numPr>
          <w:ilvl w:val="0"/>
          <w:numId w:val="3"/>
        </w:numPr>
      </w:pPr>
      <w:r w:rsidRPr="00E72D3C">
        <w:t xml:space="preserve">Obsługa rejestracji w serwerze bazodanowym </w:t>
      </w:r>
      <w:proofErr w:type="spellStart"/>
      <w:r w:rsidRPr="00E72D3C">
        <w:t>floating</w:t>
      </w:r>
      <w:proofErr w:type="spellEnd"/>
      <w:r w:rsidRPr="00E72D3C">
        <w:t xml:space="preserve"> point </w:t>
      </w:r>
      <w:proofErr w:type="spellStart"/>
      <w:r w:rsidRPr="00E72D3C">
        <w:t>double</w:t>
      </w:r>
      <w:proofErr w:type="spellEnd"/>
      <w:r w:rsidRPr="00E72D3C">
        <w:t xml:space="preserve"> precision (64 bit)</w:t>
      </w:r>
    </w:p>
    <w:p w14:paraId="1E4A0624" w14:textId="685E5163" w:rsidR="00E72D3C" w:rsidRPr="00E72D3C" w:rsidRDefault="00E72D3C" w:rsidP="00E72D3C">
      <w:pPr>
        <w:pStyle w:val="Akapitzlist"/>
        <w:numPr>
          <w:ilvl w:val="0"/>
          <w:numId w:val="3"/>
        </w:numPr>
      </w:pPr>
      <w:r w:rsidRPr="00E72D3C">
        <w:t>Automatyczne wysyłanie wiadomości typu e-mail w chwili zaistnienia definiowalnego zdarzenia,</w:t>
      </w:r>
    </w:p>
    <w:p w14:paraId="18DA6354" w14:textId="1CFF8CDC" w:rsidR="00E72D3C" w:rsidRPr="00E72D3C" w:rsidRDefault="00E72D3C" w:rsidP="00E72D3C">
      <w:pPr>
        <w:pStyle w:val="Akapitzlist"/>
        <w:numPr>
          <w:ilvl w:val="0"/>
          <w:numId w:val="3"/>
        </w:numPr>
      </w:pPr>
      <w:r w:rsidRPr="00E72D3C">
        <w:t>Możliwość łączenia się narzędzi z lokalnymi lub zdalnymi (przez sieć TCP/IP) serwerami przemysłowej bazy danych (jednym bądź wieloma serwerami jednocześnie)</w:t>
      </w:r>
    </w:p>
    <w:p w14:paraId="0D21559A" w14:textId="125E2708" w:rsidR="00E72D3C" w:rsidRPr="00E72D3C" w:rsidRDefault="00E72D3C" w:rsidP="00E72D3C">
      <w:pPr>
        <w:pStyle w:val="Akapitzlist"/>
        <w:numPr>
          <w:ilvl w:val="0"/>
          <w:numId w:val="3"/>
        </w:numPr>
      </w:pPr>
      <w:r w:rsidRPr="00E72D3C">
        <w:t>Możliwość kreślenia wykresów/trendów bieżących I historycznych:</w:t>
      </w:r>
    </w:p>
    <w:p w14:paraId="52DD9E61" w14:textId="1017561D" w:rsidR="00E72D3C" w:rsidRPr="00E72D3C" w:rsidRDefault="00E72D3C" w:rsidP="00E72D3C">
      <w:pPr>
        <w:pStyle w:val="Akapitzlist"/>
        <w:numPr>
          <w:ilvl w:val="0"/>
          <w:numId w:val="3"/>
        </w:numPr>
      </w:pPr>
      <w:r w:rsidRPr="00E72D3C">
        <w:lastRenderedPageBreak/>
        <w:t>Możliwość tworzenia raportów</w:t>
      </w:r>
    </w:p>
    <w:p w14:paraId="1B11DA3D" w14:textId="583FD9B2" w:rsidR="00E72D3C" w:rsidRPr="00E72D3C" w:rsidRDefault="00E72D3C" w:rsidP="00E72D3C">
      <w:pPr>
        <w:pStyle w:val="Akapitzlist"/>
        <w:numPr>
          <w:ilvl w:val="0"/>
          <w:numId w:val="3"/>
        </w:numPr>
      </w:pPr>
      <w:r w:rsidRPr="00E72D3C">
        <w:t>Kompatybilność z bazami danych</w:t>
      </w:r>
    </w:p>
    <w:p w14:paraId="16EE1853" w14:textId="42C301A6" w:rsidR="00E72D3C" w:rsidRPr="00E72D3C" w:rsidRDefault="00E72D3C" w:rsidP="00E72D3C">
      <w:pPr>
        <w:pStyle w:val="Akapitzlist"/>
        <w:numPr>
          <w:ilvl w:val="0"/>
          <w:numId w:val="3"/>
        </w:numPr>
      </w:pPr>
      <w:r w:rsidRPr="00E72D3C">
        <w:t>Zgodność z systemami wirtualizacji</w:t>
      </w:r>
    </w:p>
    <w:p w14:paraId="4727EA8A" w14:textId="44B72EDF" w:rsidR="00E72D3C" w:rsidRPr="00E72D3C" w:rsidRDefault="00E72D3C" w:rsidP="00E72D3C">
      <w:pPr>
        <w:pStyle w:val="Akapitzlist"/>
        <w:numPr>
          <w:ilvl w:val="0"/>
          <w:numId w:val="3"/>
        </w:numPr>
      </w:pPr>
      <w:r w:rsidRPr="00E72D3C">
        <w:t>Scentralizowany system zarządzania licencjami</w:t>
      </w:r>
    </w:p>
    <w:p w14:paraId="5F8CC255" w14:textId="36082E51" w:rsidR="00AF6DB1" w:rsidRDefault="00AF6DB1" w:rsidP="007B0A6C"/>
    <w:p w14:paraId="72E5A16E" w14:textId="77777777" w:rsidR="00AF6DB1" w:rsidRDefault="00AF6DB1" w:rsidP="007B0A6C"/>
    <w:p w14:paraId="4C2EE41F" w14:textId="17CCD0BB" w:rsidR="00216F19" w:rsidRDefault="00216F19" w:rsidP="00216F19">
      <w:pPr>
        <w:pStyle w:val="Nagwek1"/>
      </w:pPr>
      <w:bookmarkStart w:id="3" w:name="_Toc104353226"/>
      <w:r>
        <w:t>ETAPY PRAC ZWIAZANYCH Z ZAMOWIENIEM</w:t>
      </w:r>
      <w:bookmarkEnd w:id="3"/>
      <w:r>
        <w:t xml:space="preserve"> </w:t>
      </w:r>
    </w:p>
    <w:p w14:paraId="35685392" w14:textId="44A9C6BE" w:rsidR="002F2F34" w:rsidRDefault="002F2F34" w:rsidP="009A350C">
      <w:pPr>
        <w:pStyle w:val="Akapitzlist"/>
        <w:numPr>
          <w:ilvl w:val="0"/>
          <w:numId w:val="23"/>
        </w:numPr>
      </w:pPr>
      <w:r>
        <w:t xml:space="preserve">Przygotowanie we wskazanym terminie projektu wykonawczego uwzględniającego prace: </w:t>
      </w:r>
    </w:p>
    <w:p w14:paraId="37D29B7C" w14:textId="70424527" w:rsidR="002F2F34" w:rsidRDefault="002F2F34" w:rsidP="00867E75">
      <w:pPr>
        <w:pStyle w:val="Akapitzlist"/>
        <w:numPr>
          <w:ilvl w:val="0"/>
          <w:numId w:val="26"/>
        </w:numPr>
        <w:ind w:left="1276"/>
      </w:pPr>
      <w:r>
        <w:t>Elektryczne</w:t>
      </w:r>
    </w:p>
    <w:p w14:paraId="7C1A4EA1" w14:textId="642EB3BC" w:rsidR="002F2F34" w:rsidRDefault="002F2F34" w:rsidP="00867E75">
      <w:pPr>
        <w:pStyle w:val="Akapitzlist"/>
        <w:numPr>
          <w:ilvl w:val="0"/>
          <w:numId w:val="26"/>
        </w:numPr>
        <w:ind w:left="1276"/>
      </w:pPr>
      <w:r>
        <w:t xml:space="preserve">Mechaniczne </w:t>
      </w:r>
    </w:p>
    <w:p w14:paraId="796B46F3" w14:textId="2CBF3770" w:rsidR="002F2F34" w:rsidRDefault="002F2F34" w:rsidP="00867E75">
      <w:pPr>
        <w:pStyle w:val="Akapitzlist"/>
        <w:numPr>
          <w:ilvl w:val="0"/>
          <w:numId w:val="26"/>
        </w:numPr>
        <w:ind w:left="1276"/>
      </w:pPr>
      <w:r>
        <w:t xml:space="preserve">Omówienie projektu z Zamawiającym. </w:t>
      </w:r>
    </w:p>
    <w:p w14:paraId="27704E0F" w14:textId="27CC52BD" w:rsidR="00216F19" w:rsidRDefault="002F2F34" w:rsidP="00867E75">
      <w:pPr>
        <w:pStyle w:val="Akapitzlist"/>
        <w:numPr>
          <w:ilvl w:val="0"/>
          <w:numId w:val="26"/>
        </w:numPr>
        <w:ind w:left="1276"/>
      </w:pPr>
      <w:r>
        <w:t>Wykonanie ewentualnych poprawek w projekcie.</w:t>
      </w:r>
    </w:p>
    <w:p w14:paraId="1F743636" w14:textId="77777777" w:rsidR="002F2F34" w:rsidRDefault="002F2F34" w:rsidP="00867E75">
      <w:pPr>
        <w:pStyle w:val="Akapitzlist"/>
        <w:numPr>
          <w:ilvl w:val="0"/>
          <w:numId w:val="26"/>
        </w:numPr>
        <w:ind w:left="1276"/>
      </w:pPr>
      <w:r>
        <w:t xml:space="preserve">Akceptacja projektu po uwzględnieniu wniesionych uwag. </w:t>
      </w:r>
    </w:p>
    <w:p w14:paraId="782FBB8F" w14:textId="3CBC2611" w:rsidR="002F2F34" w:rsidRDefault="002F2F34" w:rsidP="00867E75">
      <w:pPr>
        <w:pStyle w:val="Akapitzlist"/>
        <w:numPr>
          <w:ilvl w:val="0"/>
          <w:numId w:val="26"/>
        </w:numPr>
        <w:ind w:left="1276"/>
      </w:pPr>
      <w:r>
        <w:t xml:space="preserve">Zakup materiałów. </w:t>
      </w:r>
    </w:p>
    <w:p w14:paraId="33B3646E" w14:textId="40D027C1" w:rsidR="002F2F34" w:rsidRDefault="002F2F34" w:rsidP="00867E75">
      <w:pPr>
        <w:pStyle w:val="Akapitzlist"/>
        <w:numPr>
          <w:ilvl w:val="0"/>
          <w:numId w:val="26"/>
        </w:numPr>
        <w:ind w:left="1276"/>
      </w:pPr>
      <w:r>
        <w:t xml:space="preserve">Wykonanie koniecznych detali i elementów. </w:t>
      </w:r>
    </w:p>
    <w:p w14:paraId="74EB05F6" w14:textId="3155CB89" w:rsidR="002F2F34" w:rsidRDefault="002F2F34" w:rsidP="00867E75">
      <w:pPr>
        <w:pStyle w:val="Akapitzlist"/>
        <w:numPr>
          <w:ilvl w:val="0"/>
          <w:numId w:val="26"/>
        </w:numPr>
        <w:ind w:left="1276"/>
      </w:pPr>
      <w:r>
        <w:t xml:space="preserve">Transport elementów na miejsce montażu w HPM. </w:t>
      </w:r>
    </w:p>
    <w:p w14:paraId="4640F682" w14:textId="148D8480" w:rsidR="002F2F34" w:rsidRDefault="002F2F34" w:rsidP="00867E75">
      <w:pPr>
        <w:pStyle w:val="Akapitzlist"/>
        <w:numPr>
          <w:ilvl w:val="0"/>
          <w:numId w:val="26"/>
        </w:numPr>
        <w:ind w:left="1276"/>
      </w:pPr>
      <w:r>
        <w:t xml:space="preserve">Prace instalacyjne oraz modernizacyjne. </w:t>
      </w:r>
    </w:p>
    <w:p w14:paraId="6CE5AF82" w14:textId="3EDDA5A6" w:rsidR="002F2F34" w:rsidRDefault="002F2F34" w:rsidP="00867E75">
      <w:pPr>
        <w:pStyle w:val="Akapitzlist"/>
        <w:numPr>
          <w:ilvl w:val="0"/>
          <w:numId w:val="26"/>
        </w:numPr>
        <w:ind w:left="1276"/>
      </w:pPr>
      <w:r>
        <w:t xml:space="preserve">Sprawdzenie poprawność wszystkich połączeń elektrycznych (poziomu napięć w obwodach sterowniczych i zasilających, kontrola wejść/wyjść PLC). </w:t>
      </w:r>
    </w:p>
    <w:p w14:paraId="6779B489" w14:textId="4CC27ED9" w:rsidR="002F2F34" w:rsidRDefault="002F2F34" w:rsidP="009A350C">
      <w:pPr>
        <w:pStyle w:val="Akapitzlist"/>
        <w:numPr>
          <w:ilvl w:val="0"/>
          <w:numId w:val="23"/>
        </w:numPr>
      </w:pPr>
      <w:r>
        <w:t xml:space="preserve">Uruchomienie. </w:t>
      </w:r>
    </w:p>
    <w:p w14:paraId="53FF2B16" w14:textId="5B4C2FB3" w:rsidR="002F2F34" w:rsidRDefault="002F2F34" w:rsidP="009A350C">
      <w:pPr>
        <w:pStyle w:val="Akapitzlist"/>
        <w:numPr>
          <w:ilvl w:val="0"/>
          <w:numId w:val="23"/>
        </w:numPr>
      </w:pPr>
      <w:r>
        <w:t>Sprawdzenie elementów bezpieczeństwa (regulacja linek, wyłączników krańcowych, sprawdzenie ciągłości obwodów bezp</w:t>
      </w:r>
      <w:r w:rsidR="00600141">
        <w:t>ieczeństwa</w:t>
      </w:r>
      <w:r>
        <w:t xml:space="preserve"> oraz wykonanie mapy bezpieczeństwa</w:t>
      </w:r>
      <w:r w:rsidR="00685955">
        <w:t>)</w:t>
      </w:r>
      <w:r>
        <w:t xml:space="preserve">. </w:t>
      </w:r>
    </w:p>
    <w:p w14:paraId="421E3FDA" w14:textId="450CC5DA" w:rsidR="002F2F34" w:rsidRDefault="002F2F34" w:rsidP="009A350C">
      <w:pPr>
        <w:pStyle w:val="Akapitzlist"/>
        <w:numPr>
          <w:ilvl w:val="0"/>
          <w:numId w:val="23"/>
        </w:numPr>
      </w:pPr>
      <w:r>
        <w:t xml:space="preserve">Próby i testy oraz zatwierdzanie maszyny (wsparcie Wykonawcy). </w:t>
      </w:r>
    </w:p>
    <w:p w14:paraId="79E30698" w14:textId="1967E882" w:rsidR="002F2F34" w:rsidRDefault="002F2F34" w:rsidP="009A350C">
      <w:pPr>
        <w:pStyle w:val="Akapitzlist"/>
        <w:numPr>
          <w:ilvl w:val="0"/>
          <w:numId w:val="23"/>
        </w:numPr>
      </w:pPr>
      <w:r>
        <w:t xml:space="preserve">Dostarczenie końcowej wersji oprogramowania. </w:t>
      </w:r>
    </w:p>
    <w:p w14:paraId="1125AD09" w14:textId="365FB154" w:rsidR="002F2F34" w:rsidRDefault="002F2F34" w:rsidP="009A350C">
      <w:pPr>
        <w:pStyle w:val="Akapitzlist"/>
        <w:numPr>
          <w:ilvl w:val="0"/>
          <w:numId w:val="23"/>
        </w:numPr>
      </w:pPr>
      <w:r>
        <w:t xml:space="preserve">Dostarczenie dokumentacji powykonawczej oraz deklaracji wykonania zgodnie z dokumentacją. </w:t>
      </w:r>
    </w:p>
    <w:p w14:paraId="5E039172" w14:textId="752AE16D" w:rsidR="002F2F34" w:rsidRDefault="002F2F34" w:rsidP="009A350C">
      <w:pPr>
        <w:pStyle w:val="Akapitzlist"/>
        <w:numPr>
          <w:ilvl w:val="0"/>
          <w:numId w:val="23"/>
        </w:numPr>
      </w:pPr>
      <w:r>
        <w:t xml:space="preserve">Odbiór prac. </w:t>
      </w:r>
    </w:p>
    <w:p w14:paraId="0CBC8813" w14:textId="38CC2354" w:rsidR="002F2F34" w:rsidRDefault="002F2F34" w:rsidP="009A350C">
      <w:pPr>
        <w:pStyle w:val="Akapitzlist"/>
        <w:numPr>
          <w:ilvl w:val="0"/>
          <w:numId w:val="23"/>
        </w:numPr>
      </w:pPr>
      <w:r>
        <w:t xml:space="preserve">Udział w próbach i testach z materiałem. </w:t>
      </w:r>
    </w:p>
    <w:p w14:paraId="698D212A" w14:textId="01AB7C29" w:rsidR="002F2F34" w:rsidRDefault="002F2F34" w:rsidP="009A350C">
      <w:pPr>
        <w:pStyle w:val="Akapitzlist"/>
        <w:numPr>
          <w:ilvl w:val="0"/>
          <w:numId w:val="23"/>
        </w:numPr>
      </w:pPr>
      <w:r>
        <w:t>Wsparcie podczas regularnej produkcji</w:t>
      </w:r>
      <w:r w:rsidR="00DA0506">
        <w:t xml:space="preserve"> przez trzy miesiące od daty uruchomienia</w:t>
      </w:r>
      <w:r>
        <w:t xml:space="preserve">. </w:t>
      </w:r>
    </w:p>
    <w:p w14:paraId="648ED35B" w14:textId="0B852BA8" w:rsidR="002F2F34" w:rsidRDefault="002F2F34" w:rsidP="009A350C">
      <w:pPr>
        <w:pStyle w:val="Akapitzlist"/>
        <w:numPr>
          <w:ilvl w:val="0"/>
          <w:numId w:val="23"/>
        </w:numPr>
      </w:pPr>
      <w:r>
        <w:t>Podpisanie protokołu odbioru.</w:t>
      </w:r>
    </w:p>
    <w:p w14:paraId="456A8759" w14:textId="3ECEABCF" w:rsidR="00216F19" w:rsidRDefault="00216F19" w:rsidP="00216F19"/>
    <w:p w14:paraId="19A20D2D" w14:textId="297C5952" w:rsidR="00216F19" w:rsidRDefault="00216F19" w:rsidP="00216F19">
      <w:pPr>
        <w:pStyle w:val="Nagwek1"/>
      </w:pPr>
      <w:bookmarkStart w:id="4" w:name="_Toc104353227"/>
      <w:r>
        <w:t>HARMONOGRAM RELIZACJI ZAMÓWIENIA</w:t>
      </w:r>
      <w:bookmarkEnd w:id="4"/>
      <w:r>
        <w:t xml:space="preserve"> </w:t>
      </w:r>
    </w:p>
    <w:p w14:paraId="227B6CDE" w14:textId="740C3E76" w:rsidR="00216F19" w:rsidRDefault="00216F19" w:rsidP="00216F19"/>
    <w:p w14:paraId="6FCF1511" w14:textId="301D0C53" w:rsidR="008E14F6" w:rsidRDefault="008E14F6" w:rsidP="00216F19">
      <w:r>
        <w:t xml:space="preserve">Wykonawca musi przedstawić szczegółowy harmonogram prac najpóźniej </w:t>
      </w:r>
      <w:r w:rsidR="00293D50">
        <w:t>1</w:t>
      </w:r>
      <w:r>
        <w:t xml:space="preserve"> tyd</w:t>
      </w:r>
      <w:r w:rsidR="00293D50">
        <w:t>zień</w:t>
      </w:r>
      <w:r>
        <w:t xml:space="preserve"> po otrzymaniu zamówienia (w formie graficznej, np. format Excel, PowerPoint). Aktualizacja harmonogramu</w:t>
      </w:r>
      <w:r w:rsidR="00685955">
        <w:t xml:space="preserve"> jest</w:t>
      </w:r>
      <w:r>
        <w:t xml:space="preserve"> po stronie Wykonawcy. </w:t>
      </w:r>
    </w:p>
    <w:p w14:paraId="395423B2" w14:textId="77777777" w:rsidR="003D4997" w:rsidRPr="0098217F" w:rsidRDefault="003D4997" w:rsidP="003D499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Cs/>
          <w:color w:val="000000" w:themeColor="text1"/>
        </w:rPr>
      </w:pPr>
      <w:bookmarkStart w:id="5" w:name="_Toc104353228"/>
      <w:r w:rsidRPr="0098217F">
        <w:rPr>
          <w:rFonts w:cstheme="minorHAnsi"/>
          <w:bCs/>
          <w:color w:val="000000" w:themeColor="text1"/>
        </w:rPr>
        <w:t xml:space="preserve">Dostarczenie planu prac do 26.05.2023. </w:t>
      </w:r>
    </w:p>
    <w:p w14:paraId="6BEA3A94" w14:textId="77777777" w:rsidR="003D4997" w:rsidRPr="0098217F" w:rsidRDefault="003D4997" w:rsidP="003D499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Cs/>
          <w:color w:val="000000" w:themeColor="text1"/>
        </w:rPr>
      </w:pPr>
      <w:r w:rsidRPr="0098217F">
        <w:rPr>
          <w:rFonts w:cstheme="minorHAnsi"/>
          <w:bCs/>
          <w:color w:val="000000" w:themeColor="text1"/>
        </w:rPr>
        <w:t>Przygotowanie części elektrycznej 22.09.2023</w:t>
      </w:r>
    </w:p>
    <w:p w14:paraId="13D63495" w14:textId="77777777" w:rsidR="003D4997" w:rsidRPr="0098217F" w:rsidRDefault="003D4997" w:rsidP="003D499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Cs/>
          <w:color w:val="000000" w:themeColor="text1"/>
        </w:rPr>
      </w:pPr>
      <w:r w:rsidRPr="0098217F">
        <w:rPr>
          <w:rFonts w:cstheme="minorHAnsi"/>
          <w:bCs/>
          <w:color w:val="000000" w:themeColor="text1"/>
        </w:rPr>
        <w:t xml:space="preserve">Oczekiwane rozpoczęcie prac na terenie HPM: 20.10.2023. </w:t>
      </w:r>
    </w:p>
    <w:p w14:paraId="1BABF280" w14:textId="57B195AA" w:rsidR="003D4997" w:rsidRPr="0098217F" w:rsidRDefault="003D4997" w:rsidP="003D499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Cs/>
          <w:color w:val="000000" w:themeColor="text1"/>
        </w:rPr>
      </w:pPr>
      <w:bookmarkStart w:id="6" w:name="_Hlk130888529"/>
      <w:r w:rsidRPr="0098217F">
        <w:rPr>
          <w:rFonts w:cstheme="minorHAnsi"/>
          <w:bCs/>
          <w:color w:val="000000" w:themeColor="text1"/>
        </w:rPr>
        <w:t>Instalacja musi się zakończyć najpóźniej: do 29.</w:t>
      </w:r>
      <w:r w:rsidR="00DA0506">
        <w:rPr>
          <w:rFonts w:cstheme="minorHAnsi"/>
          <w:bCs/>
          <w:color w:val="000000" w:themeColor="text1"/>
        </w:rPr>
        <w:t>0</w:t>
      </w:r>
      <w:r w:rsidRPr="0098217F">
        <w:rPr>
          <w:rFonts w:cstheme="minorHAnsi"/>
          <w:bCs/>
          <w:color w:val="000000" w:themeColor="text1"/>
        </w:rPr>
        <w:t>2.202</w:t>
      </w:r>
      <w:r w:rsidR="00DA0506">
        <w:rPr>
          <w:rFonts w:cstheme="minorHAnsi"/>
          <w:bCs/>
          <w:color w:val="000000" w:themeColor="text1"/>
        </w:rPr>
        <w:t>4</w:t>
      </w:r>
      <w:r w:rsidRPr="0098217F">
        <w:rPr>
          <w:rFonts w:cstheme="minorHAnsi"/>
          <w:bCs/>
          <w:color w:val="000000" w:themeColor="text1"/>
        </w:rPr>
        <w:t xml:space="preserve"> (zakończenie prób odbiorowych do </w:t>
      </w:r>
      <w:r w:rsidR="00DA0506">
        <w:rPr>
          <w:rFonts w:cstheme="minorHAnsi"/>
          <w:bCs/>
          <w:color w:val="000000" w:themeColor="text1"/>
        </w:rPr>
        <w:t>04</w:t>
      </w:r>
      <w:r w:rsidRPr="0098217F">
        <w:rPr>
          <w:rFonts w:cstheme="minorHAnsi"/>
          <w:bCs/>
          <w:color w:val="000000" w:themeColor="text1"/>
        </w:rPr>
        <w:t>.0</w:t>
      </w:r>
      <w:r w:rsidR="00DA0506">
        <w:rPr>
          <w:rFonts w:cstheme="minorHAnsi"/>
          <w:bCs/>
          <w:color w:val="000000" w:themeColor="text1"/>
        </w:rPr>
        <w:t>3</w:t>
      </w:r>
      <w:r w:rsidRPr="0098217F">
        <w:rPr>
          <w:rFonts w:cstheme="minorHAnsi"/>
          <w:bCs/>
          <w:color w:val="000000" w:themeColor="text1"/>
        </w:rPr>
        <w:t xml:space="preserve">.2024) </w:t>
      </w:r>
      <w:bookmarkEnd w:id="6"/>
    </w:p>
    <w:p w14:paraId="2E82DF15" w14:textId="05D867DD" w:rsidR="003D4997" w:rsidRPr="00B8769D" w:rsidRDefault="003D4997" w:rsidP="003D499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Cs/>
          <w:color w:val="000000" w:themeColor="text1"/>
        </w:rPr>
      </w:pPr>
      <w:r w:rsidRPr="00B8769D">
        <w:rPr>
          <w:rFonts w:cstheme="minorHAnsi"/>
          <w:bCs/>
          <w:color w:val="000000" w:themeColor="text1"/>
        </w:rPr>
        <w:lastRenderedPageBreak/>
        <w:t xml:space="preserve">Wsparcie w trakcie rozruchów i testów produkcyjnych: trzy </w:t>
      </w:r>
      <w:r w:rsidR="00DA0506">
        <w:rPr>
          <w:rFonts w:cstheme="minorHAnsi"/>
          <w:bCs/>
          <w:color w:val="000000" w:themeColor="text1"/>
        </w:rPr>
        <w:t>miesiące</w:t>
      </w:r>
      <w:r w:rsidRPr="00B8769D">
        <w:rPr>
          <w:rFonts w:cstheme="minorHAnsi"/>
          <w:bCs/>
          <w:color w:val="000000" w:themeColor="text1"/>
        </w:rPr>
        <w:t xml:space="preserve"> po oddaniu </w:t>
      </w:r>
      <w:r>
        <w:rPr>
          <w:rFonts w:cstheme="minorHAnsi"/>
          <w:bCs/>
          <w:color w:val="000000" w:themeColor="text1"/>
        </w:rPr>
        <w:t>przedmiotu zamówienia</w:t>
      </w:r>
      <w:r w:rsidRPr="00B8769D">
        <w:rPr>
          <w:rFonts w:cstheme="minorHAnsi"/>
          <w:bCs/>
          <w:color w:val="000000" w:themeColor="text1"/>
        </w:rPr>
        <w:t xml:space="preserve">. </w:t>
      </w:r>
    </w:p>
    <w:p w14:paraId="6DB50683" w14:textId="77777777" w:rsidR="003D4997" w:rsidRPr="00B8769D" w:rsidRDefault="003D4997" w:rsidP="003D499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Cs/>
          <w:color w:val="000000" w:themeColor="text1"/>
        </w:rPr>
      </w:pPr>
      <w:r w:rsidRPr="00B8769D">
        <w:rPr>
          <w:rFonts w:cstheme="minorHAnsi"/>
          <w:bCs/>
          <w:color w:val="000000" w:themeColor="text1"/>
        </w:rPr>
        <w:t xml:space="preserve">Dostarczenie kompletu dokumentacji powykonawczej (elementy zmienione względem dokumentacji oryginalnej) musi być zrealizowane do dwóch dni po oddaniu </w:t>
      </w:r>
      <w:r>
        <w:rPr>
          <w:rFonts w:cstheme="minorHAnsi"/>
          <w:bCs/>
          <w:color w:val="000000" w:themeColor="text1"/>
        </w:rPr>
        <w:t>przedmiotu zamówienia</w:t>
      </w:r>
      <w:r w:rsidRPr="00B8769D">
        <w:rPr>
          <w:rFonts w:cstheme="minorHAnsi"/>
          <w:bCs/>
          <w:color w:val="000000" w:themeColor="text1"/>
        </w:rPr>
        <w:t>.</w:t>
      </w:r>
    </w:p>
    <w:p w14:paraId="5F9D1934" w14:textId="57221B69" w:rsidR="00216F19" w:rsidRDefault="00216F19" w:rsidP="00216F19">
      <w:pPr>
        <w:pStyle w:val="Nagwek1"/>
      </w:pPr>
      <w:r>
        <w:t>DOKUMENTACJA POWYKONAWCZA</w:t>
      </w:r>
      <w:bookmarkEnd w:id="5"/>
      <w:r>
        <w:t xml:space="preserve"> </w:t>
      </w:r>
    </w:p>
    <w:p w14:paraId="52826F66" w14:textId="70F8773D" w:rsidR="00216F19" w:rsidRDefault="00216F19" w:rsidP="00216F19"/>
    <w:p w14:paraId="0703618A" w14:textId="3E3AA38F" w:rsidR="00216F19" w:rsidRDefault="00F0210E" w:rsidP="003024AD">
      <w:pPr>
        <w:jc w:val="both"/>
      </w:pPr>
      <w:r>
        <w:t xml:space="preserve">Dokumentacja powykonawcza musi być przygotowana w dwóch kopiach papierowych + jednej edytowalnej elektronicznej na nośniku pamięci. Dokumentacja musi być wykonana w języku polskim. Akceptowane formaty dla dokumentacji rysunkowej - format </w:t>
      </w:r>
      <w:r w:rsidR="00E01CE0">
        <w:t xml:space="preserve">CAD </w:t>
      </w:r>
      <w:r>
        <w:t xml:space="preserve">(przerysować od nowa strony z dokumentacji uwzględniające modyfikację). Dokumentacja rysunkowa musi być edytowalna – nie dopuszcza się tutaj wersji skanowanej. Rysunki przekazane przez </w:t>
      </w:r>
      <w:r w:rsidR="000273AF">
        <w:t>HPM</w:t>
      </w:r>
      <w:r>
        <w:t xml:space="preserve"> nie mogą być użyte w dokumentacji powykonawczej. Dokumentacja powykonawcza musi uwzględniać również zmiany wprowadzone w trakcie montażu, jeśli takie będą miały miejsce. Jeden komplet dokumentacji elektrycznej umieścić przy modernizowanym urządzeniu w oznaczonej szafce lub skrzynce nieelektrycznej (w przypadku braku szafki zakup szafki po stronie Wykonawcy) (zakupić niebieską metalową szafkę na dokumentację)  Wszystkie instrukcje i dokumenty muszą być zgodne z dyrektywami UE i powinny zawierać m.in. uwagi, obliczenia i wyniki prób wymaganych przez przepisy dotyczące bezpieczeństwa. Dokumentacja powykonawcza zarówno w wersji papierowej jak i elektronicznej musi zawierać punkty jak poniżej:</w:t>
      </w:r>
    </w:p>
    <w:p w14:paraId="291C7101" w14:textId="77777777" w:rsidR="003A59B7" w:rsidRDefault="003A59B7" w:rsidP="003024AD">
      <w:pPr>
        <w:spacing w:after="0"/>
        <w:jc w:val="both"/>
      </w:pPr>
      <w:r>
        <w:t>- Dokument „pierwsze smarowanie przed uruchomieniem urządzenia”</w:t>
      </w:r>
    </w:p>
    <w:p w14:paraId="21896CD4" w14:textId="2BF70083" w:rsidR="00C85173" w:rsidRDefault="003A59B7" w:rsidP="003024AD">
      <w:pPr>
        <w:spacing w:after="0"/>
        <w:jc w:val="both"/>
      </w:pPr>
      <w:r>
        <w:t>- Schematy elektryczne powykonawcze</w:t>
      </w:r>
      <w:r w:rsidR="00567CCE">
        <w:t>.</w:t>
      </w:r>
      <w:r>
        <w:t xml:space="preserve"> W przypadku modyfikacji przy opracowywaniu schematów elektrycznych wymagane będzie naniesienie zmian w aktualnych schematach elektrycznych maszyny zgodnie z wykonanymi modyfikacjami na obiekcie. Nowo powstałe strony schematów jak i modyfikacje stron muszą być wykonane z zachowaniem wcześniej zastosowanych zasad oznaczania przewodów i elementów sterowania przyjętych w istniejących schematach. </w:t>
      </w:r>
    </w:p>
    <w:p w14:paraId="33068CE7" w14:textId="7A7D2503" w:rsidR="00C85173" w:rsidRDefault="00C85173" w:rsidP="003024AD">
      <w:pPr>
        <w:spacing w:after="0"/>
        <w:jc w:val="both"/>
      </w:pPr>
      <w:r>
        <w:t xml:space="preserve">- </w:t>
      </w:r>
      <w:r w:rsidR="003A59B7">
        <w:t>Dokumentacja mechaniczna powykonawcza</w:t>
      </w:r>
      <w:r>
        <w:t>, d</w:t>
      </w:r>
      <w:r w:rsidR="003A59B7">
        <w:t>okumentacja ta musi zawierać rysunki złożeniowe i wykonawcze elementów</w:t>
      </w:r>
      <w:r>
        <w:t xml:space="preserve">, </w:t>
      </w:r>
      <w:r w:rsidR="003A59B7">
        <w:t xml:space="preserve">rysunki te muszą uwzględniać wszystkie szczegóły wykonawcze zastosowanych rozwiązań przez Wykonawcę (zabudowa, detale) jak również ewentualne ich wpięcie w istniejącą maszynę (dotyczy to zarówno nowych jak i modernizowanych elementów). </w:t>
      </w:r>
    </w:p>
    <w:p w14:paraId="2335B505" w14:textId="77777777" w:rsidR="00567CCE" w:rsidRDefault="00C85173" w:rsidP="003024AD">
      <w:pPr>
        <w:spacing w:after="0"/>
        <w:jc w:val="both"/>
      </w:pPr>
      <w:r>
        <w:t xml:space="preserve">- </w:t>
      </w:r>
      <w:r w:rsidR="003A59B7">
        <w:t>Schematy wykonanych instalacji hydraulicznych lub pneumatycznych</w:t>
      </w:r>
    </w:p>
    <w:p w14:paraId="0C07DEF7" w14:textId="5E6E53E9" w:rsidR="00C85173" w:rsidRDefault="00567CCE" w:rsidP="003024AD">
      <w:pPr>
        <w:spacing w:after="0"/>
        <w:jc w:val="both"/>
      </w:pPr>
      <w:r>
        <w:t>-</w:t>
      </w:r>
      <w:r w:rsidR="003A59B7">
        <w:t xml:space="preserve"> Protokoły z wykonanych pomiarów elektrycznych </w:t>
      </w:r>
    </w:p>
    <w:p w14:paraId="048A373E" w14:textId="77777777" w:rsidR="00C85173" w:rsidRDefault="00C85173" w:rsidP="003024AD">
      <w:pPr>
        <w:spacing w:after="0"/>
        <w:jc w:val="both"/>
      </w:pPr>
      <w:r>
        <w:t xml:space="preserve">- </w:t>
      </w:r>
      <w:r w:rsidR="003A59B7">
        <w:t xml:space="preserve">Mapę wyłączników bezpieczeństwa </w:t>
      </w:r>
    </w:p>
    <w:p w14:paraId="14F73837" w14:textId="77777777" w:rsidR="00C85173" w:rsidRDefault="00C85173" w:rsidP="003024AD">
      <w:pPr>
        <w:spacing w:after="0"/>
        <w:jc w:val="both"/>
      </w:pPr>
      <w:r>
        <w:t xml:space="preserve">- </w:t>
      </w:r>
      <w:r w:rsidR="003A59B7">
        <w:t xml:space="preserve">Mapę połączeń wyrównawczych </w:t>
      </w:r>
    </w:p>
    <w:p w14:paraId="082E7D5C" w14:textId="77777777" w:rsidR="00C85173" w:rsidRDefault="00C85173" w:rsidP="003024AD">
      <w:pPr>
        <w:spacing w:after="0"/>
        <w:jc w:val="both"/>
      </w:pPr>
      <w:r>
        <w:t xml:space="preserve">- </w:t>
      </w:r>
      <w:r w:rsidR="003A59B7">
        <w:t xml:space="preserve">Deklarację wykonania montażu zgodnie z przekazaną dokumentacją </w:t>
      </w:r>
    </w:p>
    <w:p w14:paraId="54CC0EA2" w14:textId="77777777" w:rsidR="00567CCE" w:rsidRDefault="00C85173" w:rsidP="003024AD">
      <w:pPr>
        <w:spacing w:after="0"/>
        <w:jc w:val="both"/>
      </w:pPr>
      <w:r>
        <w:t xml:space="preserve">- </w:t>
      </w:r>
      <w:r w:rsidR="003A59B7">
        <w:t xml:space="preserve">Ocena ryzyka Aprobaty techniczne lub certyfikaty odpowiedzialnych elementów zakupowych </w:t>
      </w:r>
      <w:r>
        <w:t xml:space="preserve">            - </w:t>
      </w:r>
      <w:r w:rsidR="003A59B7">
        <w:t>Dokumentacje techniczno-ruchowe (DTR) zainstalowanych elementów</w:t>
      </w:r>
      <w:r w:rsidR="00567CCE">
        <w:t>.</w:t>
      </w:r>
    </w:p>
    <w:p w14:paraId="4D99C509" w14:textId="335A32A5" w:rsidR="00C85173" w:rsidRDefault="00567CCE" w:rsidP="003024AD">
      <w:pPr>
        <w:spacing w:after="0"/>
        <w:jc w:val="both"/>
      </w:pPr>
      <w:r>
        <w:t>-</w:t>
      </w:r>
      <w:r w:rsidR="003A59B7">
        <w:t xml:space="preserve"> Pliki źródłowe: sterowników, paneli, sieci oraz innych parametryzowanych urządzeń </w:t>
      </w:r>
    </w:p>
    <w:p w14:paraId="4837DF0D" w14:textId="77777777" w:rsidR="00C85173" w:rsidRDefault="00C85173" w:rsidP="003024AD">
      <w:pPr>
        <w:spacing w:after="0"/>
        <w:jc w:val="both"/>
      </w:pPr>
      <w:r>
        <w:t>-</w:t>
      </w:r>
      <w:r w:rsidR="003A59B7">
        <w:t xml:space="preserve">Sprawozdania z przeprowadzonych szkoleń obsługi i utrzymania ruchu Raporty z testów szczelności nowych instalacji każdego rodzaju </w:t>
      </w:r>
    </w:p>
    <w:p w14:paraId="7C1AD7BA" w14:textId="413E4D10" w:rsidR="00216F19" w:rsidRDefault="00C85173" w:rsidP="003024AD">
      <w:pPr>
        <w:spacing w:after="0"/>
        <w:jc w:val="both"/>
      </w:pPr>
      <w:r>
        <w:t>-</w:t>
      </w:r>
      <w:r w:rsidR="003A59B7">
        <w:t xml:space="preserve">Przekazanie dokumentacji powykonawczej jest równoznaczne z przekazaniem praw do jej kopiowania, zmian konstrukcji, wykonywania wyrobów wg rysunków w całości lub części i do dalszego rozpowszechniania przez </w:t>
      </w:r>
      <w:r>
        <w:t xml:space="preserve">HiProMine SA </w:t>
      </w:r>
    </w:p>
    <w:p w14:paraId="0E1F3642" w14:textId="1D26C860" w:rsidR="004C2C7F" w:rsidRDefault="004C2C7F" w:rsidP="003024AD">
      <w:pPr>
        <w:spacing w:after="0"/>
        <w:jc w:val="both"/>
      </w:pPr>
    </w:p>
    <w:p w14:paraId="438C3769" w14:textId="1AD4B3FC" w:rsidR="004C2C7F" w:rsidRDefault="004C2C7F" w:rsidP="003024AD">
      <w:pPr>
        <w:spacing w:after="0"/>
        <w:jc w:val="both"/>
      </w:pPr>
    </w:p>
    <w:p w14:paraId="77218865" w14:textId="77777777" w:rsidR="004C2C7F" w:rsidRDefault="004C2C7F" w:rsidP="003024AD">
      <w:pPr>
        <w:spacing w:after="0"/>
        <w:jc w:val="both"/>
      </w:pPr>
    </w:p>
    <w:p w14:paraId="58543222" w14:textId="1B0357A6" w:rsidR="00216F19" w:rsidRDefault="00216F19" w:rsidP="00216F19">
      <w:pPr>
        <w:pStyle w:val="Nagwek1"/>
      </w:pPr>
      <w:bookmarkStart w:id="7" w:name="_Toc104353229"/>
      <w:r>
        <w:t>ODBIÓR PRAC ZAMÓWIENIA</w:t>
      </w:r>
      <w:bookmarkEnd w:id="7"/>
      <w:r>
        <w:t xml:space="preserve"> </w:t>
      </w:r>
    </w:p>
    <w:p w14:paraId="16639696" w14:textId="77777777" w:rsidR="0020270F" w:rsidRDefault="0020270F" w:rsidP="00216F19">
      <w:r>
        <w:t xml:space="preserve">Podstawą do płatności będzie realizacja poniższych punktów: </w:t>
      </w:r>
    </w:p>
    <w:p w14:paraId="3A2E323C" w14:textId="77777777" w:rsidR="0020270F" w:rsidRDefault="0020270F" w:rsidP="0020270F">
      <w:pPr>
        <w:pStyle w:val="Akapitzlist"/>
        <w:numPr>
          <w:ilvl w:val="0"/>
          <w:numId w:val="14"/>
        </w:numPr>
      </w:pPr>
      <w:r>
        <w:t xml:space="preserve">Realizacja wszystkich punktów specyfikacji. </w:t>
      </w:r>
    </w:p>
    <w:p w14:paraId="473EDB1C" w14:textId="0076D9E3" w:rsidR="0020270F" w:rsidRDefault="0020270F" w:rsidP="0020270F">
      <w:pPr>
        <w:pStyle w:val="Akapitzlist"/>
        <w:numPr>
          <w:ilvl w:val="0"/>
          <w:numId w:val="14"/>
        </w:numPr>
      </w:pPr>
      <w:r>
        <w:t xml:space="preserve">Protokolarne potwierdzenie prawidłowego działania układów bezpieczeństwa (Wykonawca + </w:t>
      </w:r>
      <w:r w:rsidR="00E61D25">
        <w:t>HPM</w:t>
      </w:r>
      <w:r>
        <w:t xml:space="preserve">), jeśli urządzenie czy maszyna jest w takie układy wyposażona - bez względu na to czy zakres niniejszego zamówienia ingerował w te układy. </w:t>
      </w:r>
    </w:p>
    <w:p w14:paraId="37097D00" w14:textId="77777777" w:rsidR="0020270F" w:rsidRDefault="0020270F" w:rsidP="0020270F">
      <w:pPr>
        <w:pStyle w:val="Akapitzlist"/>
        <w:numPr>
          <w:ilvl w:val="0"/>
          <w:numId w:val="14"/>
        </w:numPr>
      </w:pPr>
      <w:r>
        <w:t xml:space="preserve">Sprawdzenie funkcjonalne przedmiotu zamówienia bez obciążenia oraz pod docelowym obciążeniem. </w:t>
      </w:r>
    </w:p>
    <w:p w14:paraId="5242BE58" w14:textId="77777777" w:rsidR="0020270F" w:rsidRDefault="0020270F" w:rsidP="0020270F">
      <w:pPr>
        <w:pStyle w:val="Akapitzlist"/>
        <w:numPr>
          <w:ilvl w:val="0"/>
          <w:numId w:val="14"/>
        </w:numPr>
      </w:pPr>
      <w:r>
        <w:t xml:space="preserve">Poprawna praca zainstalowanego/zmodernizowanego urządzenia uwzględniająca, co najmniej 72-godzinną bezawaryjną pracę. </w:t>
      </w:r>
    </w:p>
    <w:p w14:paraId="6A463825" w14:textId="6AA16ADB" w:rsidR="00216F19" w:rsidRDefault="0020270F" w:rsidP="0020270F">
      <w:pPr>
        <w:pStyle w:val="Akapitzlist"/>
        <w:numPr>
          <w:ilvl w:val="0"/>
          <w:numId w:val="14"/>
        </w:numPr>
      </w:pPr>
      <w:r>
        <w:t>Dostarczenie pełnego zestawu dokumentacji powykonawczej.</w:t>
      </w:r>
    </w:p>
    <w:p w14:paraId="4D8D3F74" w14:textId="30063C82" w:rsidR="00E01CE0" w:rsidRDefault="00E01CE0" w:rsidP="00E01CE0"/>
    <w:p w14:paraId="7A4C0B1C" w14:textId="77777777" w:rsidR="00E01CE0" w:rsidRDefault="00E01CE0" w:rsidP="00E01CE0"/>
    <w:p w14:paraId="3F12A43D" w14:textId="17E90A36" w:rsidR="00216F19" w:rsidRDefault="002F2F34" w:rsidP="002F2F34">
      <w:pPr>
        <w:pStyle w:val="Nagwek1"/>
      </w:pPr>
      <w:bookmarkStart w:id="8" w:name="_Toc104353230"/>
      <w:r>
        <w:t>CZEŚĆ OGÓLNA – STANDARDY RELIZACJI ZADANIA W HIPROMINE S</w:t>
      </w:r>
      <w:r w:rsidR="009776E8">
        <w:t>.</w:t>
      </w:r>
      <w:r w:rsidR="00567CCE">
        <w:t xml:space="preserve"> </w:t>
      </w:r>
      <w:r>
        <w:t>A</w:t>
      </w:r>
      <w:bookmarkEnd w:id="8"/>
      <w:r w:rsidR="009776E8">
        <w:t>.</w:t>
      </w:r>
      <w:r>
        <w:t xml:space="preserve"> </w:t>
      </w:r>
    </w:p>
    <w:p w14:paraId="59FC211A" w14:textId="7261C151" w:rsidR="00216F19" w:rsidRDefault="00216F19" w:rsidP="00216F19">
      <w:pPr>
        <w:pStyle w:val="Nagwek1"/>
      </w:pPr>
    </w:p>
    <w:p w14:paraId="2B422F06" w14:textId="77EA7FDB" w:rsidR="0020270F" w:rsidRPr="00F3722D" w:rsidRDefault="00981DB5" w:rsidP="00981DB5">
      <w:pPr>
        <w:pStyle w:val="Akapitzlist"/>
        <w:numPr>
          <w:ilvl w:val="0"/>
          <w:numId w:val="15"/>
        </w:numPr>
        <w:rPr>
          <w:b/>
          <w:bCs/>
        </w:rPr>
      </w:pPr>
      <w:r w:rsidRPr="00F3722D">
        <w:rPr>
          <w:b/>
          <w:bCs/>
        </w:rPr>
        <w:t>Gwarancja na wykonane prace</w:t>
      </w:r>
    </w:p>
    <w:p w14:paraId="590BF3FA" w14:textId="3A5328E2" w:rsidR="0020270F" w:rsidRDefault="00981DB5" w:rsidP="003024AD">
      <w:pPr>
        <w:jc w:val="both"/>
      </w:pPr>
      <w:r>
        <w:t>Gwarancja na wykonane prace Jeśli w trakcie okresu gwarancyjnego część urządzenia okaże się wadliwa lub wykonana z wadliwych materiałów bądź nieprawidłowo wykonana, Wykonawca wykona inspekcję oraz wymianę lub naprawę wadliwych elementów na koszt Wykonawcy w możliwie najkrótszym terminie uzgodnionym z HPM. W przypadku, gdy urządzenie nie będzie spełniało wymogów specyfikacji Wykonawca jest zobowiązany do usunięcia nieścisłości na swój koszt w możliwie najkrótszym terminie uzgodnionym z HPM</w:t>
      </w:r>
      <w:r w:rsidR="00293D50">
        <w:t xml:space="preserve"> (do 3 dni roboczych od zgłoszenia mailowego)</w:t>
      </w:r>
      <w:r>
        <w:t xml:space="preserve">. Wszystkie gwarancje jednostkowe na zainstalowane urządzenia pozostaną po stronie Wykonawcy. Okres gwarancji na prace objęte zamówieniem wynosi, co najmniej </w:t>
      </w:r>
      <w:r w:rsidR="00867E75">
        <w:t>12</w:t>
      </w:r>
      <w:r>
        <w:t xml:space="preserve"> miesi</w:t>
      </w:r>
      <w:r w:rsidR="00867E75">
        <w:t>ęcy</w:t>
      </w:r>
      <w:r>
        <w:t xml:space="preserve"> od daty odbioru końcowego urządzenia.</w:t>
      </w:r>
    </w:p>
    <w:p w14:paraId="0066256E" w14:textId="10DCEDF8" w:rsidR="0020270F" w:rsidRPr="00F3722D" w:rsidRDefault="00981DB5" w:rsidP="00981DB5">
      <w:pPr>
        <w:pStyle w:val="Akapitzlist"/>
        <w:numPr>
          <w:ilvl w:val="0"/>
          <w:numId w:val="15"/>
        </w:numPr>
        <w:rPr>
          <w:b/>
          <w:bCs/>
        </w:rPr>
      </w:pPr>
      <w:r w:rsidRPr="00F3722D">
        <w:rPr>
          <w:b/>
          <w:bCs/>
        </w:rPr>
        <w:t xml:space="preserve">Warunki pracy przedmiotu zamówienia: </w:t>
      </w:r>
    </w:p>
    <w:p w14:paraId="06A20A5B" w14:textId="493DC527" w:rsidR="00981DB5" w:rsidRDefault="00981DB5" w:rsidP="00981DB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81DB5" w14:paraId="7226A042" w14:textId="77777777" w:rsidTr="00981DB5">
        <w:tc>
          <w:tcPr>
            <w:tcW w:w="3020" w:type="dxa"/>
          </w:tcPr>
          <w:p w14:paraId="71FF300F" w14:textId="1882C54A" w:rsidR="00981DB5" w:rsidRDefault="00981DB5" w:rsidP="00981DB5">
            <w:r>
              <w:t xml:space="preserve">Pozycja </w:t>
            </w:r>
          </w:p>
        </w:tc>
        <w:tc>
          <w:tcPr>
            <w:tcW w:w="3021" w:type="dxa"/>
          </w:tcPr>
          <w:p w14:paraId="65E3ACBA" w14:textId="09E961D9" w:rsidR="00981DB5" w:rsidRDefault="00981DB5" w:rsidP="00981DB5">
            <w:r>
              <w:t xml:space="preserve">Wartość w lokalizacji </w:t>
            </w:r>
          </w:p>
        </w:tc>
        <w:tc>
          <w:tcPr>
            <w:tcW w:w="3021" w:type="dxa"/>
          </w:tcPr>
          <w:p w14:paraId="6A665062" w14:textId="5D032730" w:rsidR="00981DB5" w:rsidRDefault="009C67E9" w:rsidP="00981DB5">
            <w:r>
              <w:t xml:space="preserve">Wartości średnie w fabryce </w:t>
            </w:r>
          </w:p>
        </w:tc>
      </w:tr>
      <w:tr w:rsidR="00981DB5" w14:paraId="21A7036C" w14:textId="77777777" w:rsidTr="00981DB5">
        <w:tc>
          <w:tcPr>
            <w:tcW w:w="3020" w:type="dxa"/>
          </w:tcPr>
          <w:p w14:paraId="4EDEE9F4" w14:textId="5CF953E8" w:rsidR="00981DB5" w:rsidRDefault="00981DB5" w:rsidP="00981DB5">
            <w:r>
              <w:t>Temperatura powietrza</w:t>
            </w:r>
          </w:p>
        </w:tc>
        <w:tc>
          <w:tcPr>
            <w:tcW w:w="3021" w:type="dxa"/>
          </w:tcPr>
          <w:p w14:paraId="58C217B8" w14:textId="126CAD4D" w:rsidR="00981DB5" w:rsidRDefault="00B5300C" w:rsidP="00981DB5">
            <w:r>
              <w:t xml:space="preserve">Ogólnozakładowa </w:t>
            </w:r>
          </w:p>
        </w:tc>
        <w:tc>
          <w:tcPr>
            <w:tcW w:w="3021" w:type="dxa"/>
          </w:tcPr>
          <w:p w14:paraId="2914E522" w14:textId="5BD4277F" w:rsidR="00981DB5" w:rsidRDefault="009C67E9" w:rsidP="00981DB5">
            <w:r>
              <w:t xml:space="preserve">10deg – 50 </w:t>
            </w:r>
            <w:proofErr w:type="spellStart"/>
            <w:r>
              <w:t>deg</w:t>
            </w:r>
            <w:proofErr w:type="spellEnd"/>
            <w:r>
              <w:t xml:space="preserve"> </w:t>
            </w:r>
          </w:p>
        </w:tc>
      </w:tr>
      <w:tr w:rsidR="00981DB5" w14:paraId="752C0C3F" w14:textId="77777777" w:rsidTr="00981DB5">
        <w:tc>
          <w:tcPr>
            <w:tcW w:w="3020" w:type="dxa"/>
          </w:tcPr>
          <w:p w14:paraId="1F3B174F" w14:textId="3C3E1295" w:rsidR="00981DB5" w:rsidRDefault="00981DB5" w:rsidP="00981DB5">
            <w:r>
              <w:t xml:space="preserve">Wilgotność </w:t>
            </w:r>
          </w:p>
        </w:tc>
        <w:tc>
          <w:tcPr>
            <w:tcW w:w="3021" w:type="dxa"/>
          </w:tcPr>
          <w:p w14:paraId="38F9F9B5" w14:textId="0DA41A29" w:rsidR="00981DB5" w:rsidRDefault="00B5300C" w:rsidP="00981DB5">
            <w:r>
              <w:t xml:space="preserve">Ogólnozakładowa </w:t>
            </w:r>
          </w:p>
        </w:tc>
        <w:tc>
          <w:tcPr>
            <w:tcW w:w="3021" w:type="dxa"/>
          </w:tcPr>
          <w:p w14:paraId="68ED5D95" w14:textId="507C5CF6" w:rsidR="00981DB5" w:rsidRDefault="009C67E9" w:rsidP="00981DB5">
            <w:r>
              <w:t>10% - 90%</w:t>
            </w:r>
          </w:p>
        </w:tc>
      </w:tr>
    </w:tbl>
    <w:p w14:paraId="61C132F8" w14:textId="77777777" w:rsidR="00981DB5" w:rsidRDefault="00981DB5" w:rsidP="00981DB5"/>
    <w:p w14:paraId="41F91739" w14:textId="0BFCC4B8" w:rsidR="00D25FF4" w:rsidRDefault="00D25FF4" w:rsidP="009C67E9">
      <w:pPr>
        <w:pStyle w:val="Akapitzlist"/>
      </w:pPr>
    </w:p>
    <w:p w14:paraId="7B13869B" w14:textId="77777777" w:rsidR="00D25FF4" w:rsidRPr="0020270F" w:rsidRDefault="00D25FF4" w:rsidP="009C67E9">
      <w:pPr>
        <w:pStyle w:val="Akapitzlist"/>
      </w:pPr>
    </w:p>
    <w:p w14:paraId="753FDA6F" w14:textId="7B228B31" w:rsidR="002F2F34" w:rsidRPr="00F3722D" w:rsidRDefault="00D25FF4" w:rsidP="009C67E9">
      <w:pPr>
        <w:pStyle w:val="Akapitzlist"/>
        <w:numPr>
          <w:ilvl w:val="0"/>
          <w:numId w:val="15"/>
        </w:numPr>
        <w:rPr>
          <w:b/>
          <w:bCs/>
        </w:rPr>
      </w:pPr>
      <w:r w:rsidRPr="00F3722D">
        <w:rPr>
          <w:b/>
          <w:bCs/>
        </w:rPr>
        <w:t xml:space="preserve">Malowanie </w:t>
      </w:r>
    </w:p>
    <w:p w14:paraId="7742D0B5" w14:textId="3891278F" w:rsidR="00E37E97" w:rsidRDefault="00E37E97" w:rsidP="003024AD">
      <w:pPr>
        <w:jc w:val="both"/>
      </w:pPr>
      <w:r>
        <w:t xml:space="preserve">Wszelkie elementy nowe lub modernizowane poza miejscem montażu w </w:t>
      </w:r>
      <w:r w:rsidR="009776E8">
        <w:t>HPM</w:t>
      </w:r>
      <w:r>
        <w:t xml:space="preserve"> muszą być malowane proszkowo</w:t>
      </w:r>
      <w:r w:rsidR="009776E8">
        <w:t xml:space="preserve">, </w:t>
      </w:r>
      <w:r>
        <w:t xml:space="preserve">a wszelkie elementy modernizowane w miejscu montażu w </w:t>
      </w:r>
      <w:r w:rsidR="004E3B42">
        <w:t>HPM</w:t>
      </w:r>
      <w:r>
        <w:t xml:space="preserve"> muszą być malowane wałkiem lub pędzlem z zachowaniem estetyki na kolory obowiązujące w </w:t>
      </w:r>
      <w:r w:rsidR="004E3B42">
        <w:t>HPM</w:t>
      </w:r>
      <w:r>
        <w:t xml:space="preserve">. W każdym przypadku </w:t>
      </w:r>
      <w:r>
        <w:lastRenderedPageBreak/>
        <w:t xml:space="preserve">grubość powłok malarskich nie może być mniejsza niż 70 mikrometrów. Części metalowe przed pomalowaniem należy oczyścić do klasy min. St2 lub Sa1 i odtłuścić. </w:t>
      </w:r>
    </w:p>
    <w:p w14:paraId="05B2353E" w14:textId="20B143A6" w:rsidR="00E37E97" w:rsidRDefault="00E37E97" w:rsidP="00E37E9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37E97" w14:paraId="5708BCC8" w14:textId="77777777" w:rsidTr="00E37E97">
        <w:tc>
          <w:tcPr>
            <w:tcW w:w="3020" w:type="dxa"/>
          </w:tcPr>
          <w:p w14:paraId="37F54794" w14:textId="438C6790" w:rsidR="00E37E97" w:rsidRDefault="00E37E97" w:rsidP="00E37E97">
            <w:r>
              <w:t xml:space="preserve">Pozycja </w:t>
            </w:r>
          </w:p>
        </w:tc>
        <w:tc>
          <w:tcPr>
            <w:tcW w:w="3021" w:type="dxa"/>
          </w:tcPr>
          <w:p w14:paraId="57C7DB5F" w14:textId="28B4AB9E" w:rsidR="00E37E97" w:rsidRDefault="00E37E97" w:rsidP="00E37E97">
            <w:r>
              <w:t xml:space="preserve">Kolor </w:t>
            </w:r>
          </w:p>
        </w:tc>
        <w:tc>
          <w:tcPr>
            <w:tcW w:w="3021" w:type="dxa"/>
          </w:tcPr>
          <w:p w14:paraId="2937A6DA" w14:textId="03890C03" w:rsidR="00E37E97" w:rsidRDefault="00E37E97" w:rsidP="00E37E97">
            <w:r>
              <w:t xml:space="preserve">RAL </w:t>
            </w:r>
          </w:p>
        </w:tc>
      </w:tr>
      <w:tr w:rsidR="00E37E97" w14:paraId="48775B74" w14:textId="77777777" w:rsidTr="00E37E97">
        <w:tc>
          <w:tcPr>
            <w:tcW w:w="3020" w:type="dxa"/>
          </w:tcPr>
          <w:p w14:paraId="053F185B" w14:textId="2B6C66FA" w:rsidR="00E37E97" w:rsidRDefault="00E37E97" w:rsidP="00E37E97">
            <w:r>
              <w:t xml:space="preserve">Ramy, elementy konstrukcji </w:t>
            </w:r>
          </w:p>
        </w:tc>
        <w:tc>
          <w:tcPr>
            <w:tcW w:w="3021" w:type="dxa"/>
          </w:tcPr>
          <w:p w14:paraId="60960A69" w14:textId="019127C6" w:rsidR="00E37E97" w:rsidRDefault="00E37E97" w:rsidP="00E37E97">
            <w:r>
              <w:t xml:space="preserve">Niebieski </w:t>
            </w:r>
          </w:p>
        </w:tc>
        <w:tc>
          <w:tcPr>
            <w:tcW w:w="3021" w:type="dxa"/>
          </w:tcPr>
          <w:p w14:paraId="771A568D" w14:textId="226D65EE" w:rsidR="00E37E97" w:rsidRDefault="00E37E97" w:rsidP="00E37E97">
            <w:r>
              <w:t>5012</w:t>
            </w:r>
          </w:p>
        </w:tc>
      </w:tr>
      <w:tr w:rsidR="00E37E97" w14:paraId="549A1B89" w14:textId="77777777" w:rsidTr="00E37E97">
        <w:tc>
          <w:tcPr>
            <w:tcW w:w="3020" w:type="dxa"/>
          </w:tcPr>
          <w:p w14:paraId="25FC5147" w14:textId="1BE387D0" w:rsidR="00E37E97" w:rsidRDefault="00E37E97" w:rsidP="00E37E97">
            <w:r>
              <w:t xml:space="preserve">Osłony </w:t>
            </w:r>
          </w:p>
        </w:tc>
        <w:tc>
          <w:tcPr>
            <w:tcW w:w="3021" w:type="dxa"/>
          </w:tcPr>
          <w:p w14:paraId="5BC6C5FE" w14:textId="66457686" w:rsidR="00E37E97" w:rsidRDefault="00E37E97" w:rsidP="00E37E97">
            <w:r>
              <w:t xml:space="preserve">Pomarańczowy </w:t>
            </w:r>
          </w:p>
        </w:tc>
        <w:tc>
          <w:tcPr>
            <w:tcW w:w="3021" w:type="dxa"/>
          </w:tcPr>
          <w:p w14:paraId="73A679C3" w14:textId="77BA06CE" w:rsidR="00E37E97" w:rsidRDefault="00E37E97" w:rsidP="00E37E97">
            <w:r>
              <w:t>2008</w:t>
            </w:r>
          </w:p>
        </w:tc>
      </w:tr>
      <w:tr w:rsidR="00E37E97" w14:paraId="246A868A" w14:textId="77777777" w:rsidTr="00E37E97">
        <w:tc>
          <w:tcPr>
            <w:tcW w:w="3020" w:type="dxa"/>
          </w:tcPr>
          <w:p w14:paraId="371F2D9D" w14:textId="4FB5F11C" w:rsidR="00E37E97" w:rsidRDefault="00E37E97" w:rsidP="00E37E97">
            <w:r>
              <w:t xml:space="preserve">Belka bezpieczeństwa </w:t>
            </w:r>
          </w:p>
        </w:tc>
        <w:tc>
          <w:tcPr>
            <w:tcW w:w="3021" w:type="dxa"/>
          </w:tcPr>
          <w:p w14:paraId="4225A784" w14:textId="077CFEEE" w:rsidR="00E37E97" w:rsidRDefault="00E37E97" w:rsidP="00E37E97">
            <w:r>
              <w:t xml:space="preserve">Czerwony </w:t>
            </w:r>
          </w:p>
        </w:tc>
        <w:tc>
          <w:tcPr>
            <w:tcW w:w="3021" w:type="dxa"/>
          </w:tcPr>
          <w:p w14:paraId="399857BB" w14:textId="63AE4D4C" w:rsidR="00E37E97" w:rsidRDefault="00E37E97" w:rsidP="00E37E97">
            <w:r>
              <w:t>3020</w:t>
            </w:r>
          </w:p>
        </w:tc>
      </w:tr>
      <w:tr w:rsidR="00E37E97" w14:paraId="0F0C4948" w14:textId="77777777" w:rsidTr="00E37E97">
        <w:tc>
          <w:tcPr>
            <w:tcW w:w="3020" w:type="dxa"/>
          </w:tcPr>
          <w:p w14:paraId="25B81B4D" w14:textId="309A165E" w:rsidR="00E37E97" w:rsidRDefault="00E37E97" w:rsidP="00E37E97">
            <w:r>
              <w:t xml:space="preserve">Elementy ruchome </w:t>
            </w:r>
          </w:p>
        </w:tc>
        <w:tc>
          <w:tcPr>
            <w:tcW w:w="3021" w:type="dxa"/>
          </w:tcPr>
          <w:p w14:paraId="22FC112C" w14:textId="383493E7" w:rsidR="00E37E97" w:rsidRDefault="00E37E97" w:rsidP="00E37E97">
            <w:r>
              <w:t xml:space="preserve">Pomarańczowy </w:t>
            </w:r>
          </w:p>
        </w:tc>
        <w:tc>
          <w:tcPr>
            <w:tcW w:w="3021" w:type="dxa"/>
          </w:tcPr>
          <w:p w14:paraId="3B2B814D" w14:textId="281E1066" w:rsidR="00E37E97" w:rsidRDefault="00E37E97" w:rsidP="00E37E97">
            <w:r>
              <w:t>2008</w:t>
            </w:r>
          </w:p>
        </w:tc>
      </w:tr>
      <w:tr w:rsidR="00E37E97" w14:paraId="4667F935" w14:textId="77777777" w:rsidTr="00E37E97">
        <w:tc>
          <w:tcPr>
            <w:tcW w:w="3020" w:type="dxa"/>
          </w:tcPr>
          <w:p w14:paraId="65640E9E" w14:textId="2566268A" w:rsidR="00E37E97" w:rsidRDefault="00E37E97" w:rsidP="00E37E97">
            <w:r>
              <w:t xml:space="preserve">Instalacje hydrauliczne </w:t>
            </w:r>
          </w:p>
        </w:tc>
        <w:tc>
          <w:tcPr>
            <w:tcW w:w="3021" w:type="dxa"/>
          </w:tcPr>
          <w:p w14:paraId="4A91BDD5" w14:textId="46D7509A" w:rsidR="00E37E97" w:rsidRDefault="00E37E97" w:rsidP="00E37E97">
            <w:r>
              <w:t xml:space="preserve">Brązowy </w:t>
            </w:r>
          </w:p>
        </w:tc>
        <w:tc>
          <w:tcPr>
            <w:tcW w:w="3021" w:type="dxa"/>
          </w:tcPr>
          <w:p w14:paraId="542C6693" w14:textId="22887E2B" w:rsidR="00E37E97" w:rsidRDefault="00E37E97" w:rsidP="00E37E97">
            <w:r>
              <w:t>8001</w:t>
            </w:r>
          </w:p>
        </w:tc>
      </w:tr>
      <w:tr w:rsidR="00E37E97" w14:paraId="34C07664" w14:textId="77777777" w:rsidTr="00E37E97">
        <w:tc>
          <w:tcPr>
            <w:tcW w:w="3020" w:type="dxa"/>
          </w:tcPr>
          <w:p w14:paraId="1DD03DFF" w14:textId="2CD51ACF" w:rsidR="00E37E97" w:rsidRDefault="00E37E97" w:rsidP="00E37E97">
            <w:r>
              <w:t xml:space="preserve">Rurociągi wody bytowej </w:t>
            </w:r>
          </w:p>
        </w:tc>
        <w:tc>
          <w:tcPr>
            <w:tcW w:w="3021" w:type="dxa"/>
          </w:tcPr>
          <w:p w14:paraId="58E72E03" w14:textId="37503084" w:rsidR="00E37E97" w:rsidRDefault="00E37E97" w:rsidP="00E37E97">
            <w:r>
              <w:t>Zielony</w:t>
            </w:r>
          </w:p>
        </w:tc>
        <w:tc>
          <w:tcPr>
            <w:tcW w:w="3021" w:type="dxa"/>
          </w:tcPr>
          <w:p w14:paraId="37DD02C8" w14:textId="5225E86F" w:rsidR="00E37E97" w:rsidRDefault="00E37E97" w:rsidP="00E37E97">
            <w:r>
              <w:t>6029</w:t>
            </w:r>
          </w:p>
        </w:tc>
      </w:tr>
      <w:tr w:rsidR="00E37E97" w14:paraId="3E15ED87" w14:textId="77777777" w:rsidTr="00E37E97">
        <w:tc>
          <w:tcPr>
            <w:tcW w:w="3020" w:type="dxa"/>
          </w:tcPr>
          <w:p w14:paraId="568ABBF5" w14:textId="2173E5AC" w:rsidR="00E37E97" w:rsidRDefault="00E37E97" w:rsidP="00E37E97">
            <w:r>
              <w:t>Szafy elektryczne i sterujące</w:t>
            </w:r>
          </w:p>
        </w:tc>
        <w:tc>
          <w:tcPr>
            <w:tcW w:w="3021" w:type="dxa"/>
          </w:tcPr>
          <w:p w14:paraId="235999D8" w14:textId="7B651891" w:rsidR="00E37E97" w:rsidRDefault="00E37E97" w:rsidP="00E37E97">
            <w:r>
              <w:t xml:space="preserve">Szary </w:t>
            </w:r>
          </w:p>
        </w:tc>
        <w:tc>
          <w:tcPr>
            <w:tcW w:w="3021" w:type="dxa"/>
          </w:tcPr>
          <w:p w14:paraId="3F6FC644" w14:textId="5FA7515A" w:rsidR="00E37E97" w:rsidRDefault="00186BE1" w:rsidP="00E37E97">
            <w:r>
              <w:t xml:space="preserve">7032 lub 7035 </w:t>
            </w:r>
          </w:p>
        </w:tc>
      </w:tr>
    </w:tbl>
    <w:p w14:paraId="4B7CECA7" w14:textId="77777777" w:rsidR="00E37E97" w:rsidRDefault="00E37E97" w:rsidP="00E37E97"/>
    <w:p w14:paraId="7CE1CEE5" w14:textId="7DCB2A50" w:rsidR="00E37E97" w:rsidRDefault="00E37E97" w:rsidP="00E37E97"/>
    <w:p w14:paraId="18F6EC33" w14:textId="77777777" w:rsidR="00186BE1" w:rsidRDefault="00186BE1" w:rsidP="00E37E97">
      <w:r>
        <w:t xml:space="preserve">Elementy, których nie wolno malować: </w:t>
      </w:r>
    </w:p>
    <w:p w14:paraId="724B68A2" w14:textId="77777777" w:rsidR="00186BE1" w:rsidRDefault="00186BE1" w:rsidP="00E37E97">
      <w:r>
        <w:t xml:space="preserve">▪ Powierzchnie styku/tarcia/ślizgowe; </w:t>
      </w:r>
    </w:p>
    <w:p w14:paraId="0068661D" w14:textId="1549003D" w:rsidR="00186BE1" w:rsidRDefault="00186BE1" w:rsidP="00E37E97">
      <w:r>
        <w:t>▪ Metale nieżelazne lub powierzchnie pokrywane galwanicznie</w:t>
      </w:r>
      <w:r w:rsidR="00B75DC6">
        <w:t>, ogniowo</w:t>
      </w:r>
      <w:r>
        <w:t xml:space="preserve">; </w:t>
      </w:r>
    </w:p>
    <w:p w14:paraId="778ED3C9" w14:textId="77777777" w:rsidR="00186BE1" w:rsidRDefault="00186BE1" w:rsidP="00E37E97">
      <w:r>
        <w:t xml:space="preserve">▪ Złącza i zawory; </w:t>
      </w:r>
    </w:p>
    <w:p w14:paraId="76233A77" w14:textId="2A5DF3EC" w:rsidR="00E37E97" w:rsidRDefault="00186BE1" w:rsidP="00E37E97">
      <w:r>
        <w:t>▪ Części zakupione (napędy, zawory, siłowniki itd.) - kolor wytwórcy jest akceptowalny</w:t>
      </w:r>
    </w:p>
    <w:p w14:paraId="71636B50" w14:textId="2F90E83B" w:rsidR="00186BE1" w:rsidRDefault="00186BE1" w:rsidP="00E37E97"/>
    <w:p w14:paraId="6529FDC4" w14:textId="3A882DCF" w:rsidR="00186BE1" w:rsidRPr="00F3722D" w:rsidRDefault="00186BE1" w:rsidP="00186BE1">
      <w:pPr>
        <w:pStyle w:val="Akapitzlist"/>
        <w:numPr>
          <w:ilvl w:val="0"/>
          <w:numId w:val="15"/>
        </w:numPr>
        <w:rPr>
          <w:b/>
          <w:bCs/>
        </w:rPr>
      </w:pPr>
      <w:r w:rsidRPr="00F3722D">
        <w:rPr>
          <w:b/>
          <w:bCs/>
        </w:rPr>
        <w:t xml:space="preserve">Zasilanie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6BE1" w14:paraId="242B0719" w14:textId="77777777" w:rsidTr="00186BE1">
        <w:tc>
          <w:tcPr>
            <w:tcW w:w="4531" w:type="dxa"/>
          </w:tcPr>
          <w:p w14:paraId="5D73B2FE" w14:textId="11E90DC8" w:rsidR="00186BE1" w:rsidRDefault="00186BE1" w:rsidP="00186BE1">
            <w:r>
              <w:t xml:space="preserve">Napięcie zasilania </w:t>
            </w:r>
          </w:p>
        </w:tc>
        <w:tc>
          <w:tcPr>
            <w:tcW w:w="4531" w:type="dxa"/>
          </w:tcPr>
          <w:p w14:paraId="3AA6983C" w14:textId="63F4BEC0" w:rsidR="00186BE1" w:rsidRDefault="00186BE1" w:rsidP="00186BE1">
            <w:r>
              <w:t xml:space="preserve">400V lub 240V </w:t>
            </w:r>
          </w:p>
        </w:tc>
      </w:tr>
      <w:tr w:rsidR="00186BE1" w14:paraId="3E992AAB" w14:textId="77777777" w:rsidTr="00186BE1">
        <w:tc>
          <w:tcPr>
            <w:tcW w:w="4531" w:type="dxa"/>
          </w:tcPr>
          <w:p w14:paraId="21BC00A2" w14:textId="7E64ABC1" w:rsidR="00186BE1" w:rsidRDefault="00186BE1" w:rsidP="00186BE1">
            <w:r>
              <w:t xml:space="preserve">Napięcie sterowania </w:t>
            </w:r>
          </w:p>
        </w:tc>
        <w:tc>
          <w:tcPr>
            <w:tcW w:w="4531" w:type="dxa"/>
          </w:tcPr>
          <w:p w14:paraId="44710352" w14:textId="65679E77" w:rsidR="00186BE1" w:rsidRDefault="00186BE1" w:rsidP="00186BE1">
            <w:r>
              <w:t xml:space="preserve">24V </w:t>
            </w:r>
          </w:p>
        </w:tc>
      </w:tr>
    </w:tbl>
    <w:p w14:paraId="155229BB" w14:textId="061E9864" w:rsidR="00186BE1" w:rsidRDefault="00186BE1" w:rsidP="00186BE1"/>
    <w:p w14:paraId="5EC8E149" w14:textId="5B7786C2" w:rsidR="00293D50" w:rsidRDefault="00293D50" w:rsidP="00186BE1"/>
    <w:p w14:paraId="6B622777" w14:textId="1E80B433" w:rsidR="00186BE1" w:rsidRPr="00F3722D" w:rsidRDefault="00293D50" w:rsidP="00C703BA">
      <w:pPr>
        <w:pStyle w:val="Akapitzlist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Wymagane k</w:t>
      </w:r>
      <w:r w:rsidR="00C703BA" w:rsidRPr="00F3722D">
        <w:rPr>
          <w:b/>
          <w:bCs/>
        </w:rPr>
        <w:t xml:space="preserve">omponenty </w:t>
      </w:r>
      <w:r w:rsidR="00C703BA" w:rsidRPr="00F3722D">
        <w:rPr>
          <w:b/>
          <w:bCs/>
        </w:rPr>
        <w:tab/>
      </w:r>
    </w:p>
    <w:p w14:paraId="0CCB6726" w14:textId="77777777" w:rsidR="00F3722D" w:rsidRDefault="00F3722D" w:rsidP="00C703BA">
      <w:r>
        <w:t xml:space="preserve">Wszelkie elementy zamontowanych lub modernizowanych instalacji powinny być łatwo wymienialne (np. dla pneumatyki </w:t>
      </w:r>
      <w:proofErr w:type="spellStart"/>
      <w:r>
        <w:t>szybkozłączki</w:t>
      </w:r>
      <w:proofErr w:type="spellEnd"/>
      <w:r>
        <w:t xml:space="preserve">, dla rurociągów śrubunki). </w:t>
      </w:r>
    </w:p>
    <w:p w14:paraId="3A389AB4" w14:textId="25050FFE" w:rsidR="00F3722D" w:rsidRDefault="00F3722D" w:rsidP="00C703BA">
      <w:r>
        <w:t>• Zakresy urządzeń pomiarowych nie mogą przekraczać 1</w:t>
      </w:r>
      <w:r w:rsidR="00293D50">
        <w:t>0</w:t>
      </w:r>
      <w:r>
        <w:t xml:space="preserve">0% wartości nominalnych. </w:t>
      </w:r>
    </w:p>
    <w:p w14:paraId="6C7B48F1" w14:textId="7240C7A9" w:rsidR="00F3722D" w:rsidRDefault="00F3722D" w:rsidP="00C703BA">
      <w:r>
        <w:t>• Skale urządzeń pomiarowych muszą być zgodne z normami ISO (Pa, N; °C, etc.)</w:t>
      </w:r>
    </w:p>
    <w:p w14:paraId="135AD436" w14:textId="2C9AD457" w:rsidR="00E37E97" w:rsidRDefault="00F3722D" w:rsidP="00F3722D">
      <w:pPr>
        <w:pStyle w:val="Akapitzlist"/>
        <w:numPr>
          <w:ilvl w:val="0"/>
          <w:numId w:val="15"/>
        </w:numPr>
        <w:rPr>
          <w:b/>
          <w:bCs/>
        </w:rPr>
      </w:pPr>
      <w:r w:rsidRPr="00F3722D">
        <w:rPr>
          <w:b/>
          <w:bCs/>
        </w:rPr>
        <w:t xml:space="preserve">Okablowanie </w:t>
      </w:r>
    </w:p>
    <w:p w14:paraId="4B6DEB32" w14:textId="76DFFD92" w:rsidR="00F3722D" w:rsidRDefault="00F3722D" w:rsidP="00F3722D">
      <w:pPr>
        <w:pStyle w:val="Akapitzlist"/>
        <w:numPr>
          <w:ilvl w:val="0"/>
          <w:numId w:val="16"/>
        </w:numPr>
      </w:pPr>
      <w:r>
        <w:t xml:space="preserve">Wytyczne ogólne </w:t>
      </w:r>
    </w:p>
    <w:p w14:paraId="28E4EA89" w14:textId="77777777" w:rsidR="00F3722D" w:rsidRDefault="00F3722D" w:rsidP="003024AD">
      <w:pPr>
        <w:jc w:val="both"/>
      </w:pPr>
      <w:r>
        <w:t xml:space="preserve">Wykonane instalacje elektryczne i </w:t>
      </w:r>
      <w:proofErr w:type="spellStart"/>
      <w:r>
        <w:t>AKPiA</w:t>
      </w:r>
      <w:proofErr w:type="spellEnd"/>
      <w:r>
        <w:t xml:space="preserve"> muszą być zgodne ze standardami wykonawczymi HPM szczególnie, jeżeli chodzi o estetykę prefabrykacji szaf, zachowanie w nich odpowiednich odległości i rezerwy miejsca oraz odpowiednie oznaczenie wszystkich przewodów i urządzeń (również sieciowych) znajdujących się zarówno wewnątrz jak i na obiekcie. </w:t>
      </w:r>
    </w:p>
    <w:p w14:paraId="1D42082F" w14:textId="0940A774" w:rsidR="00F3722D" w:rsidRDefault="00F3722D" w:rsidP="003024AD">
      <w:pPr>
        <w:pStyle w:val="Akapitzlist"/>
        <w:numPr>
          <w:ilvl w:val="0"/>
          <w:numId w:val="17"/>
        </w:numPr>
        <w:jc w:val="both"/>
      </w:pPr>
      <w:r>
        <w:t xml:space="preserve">Kolor izolacji: </w:t>
      </w:r>
    </w:p>
    <w:p w14:paraId="7B264BC3" w14:textId="77777777" w:rsidR="00F3722D" w:rsidRDefault="00F3722D" w:rsidP="003024AD">
      <w:pPr>
        <w:pStyle w:val="Akapitzlist"/>
        <w:jc w:val="both"/>
      </w:pPr>
      <w:r>
        <w:t xml:space="preserve">▪ Przewody fazowe czarny, brązowy, szary lub wszystkie czarne L1,L2,L3 </w:t>
      </w:r>
    </w:p>
    <w:p w14:paraId="262BF3B3" w14:textId="77777777" w:rsidR="00F3722D" w:rsidRDefault="00F3722D" w:rsidP="003024AD">
      <w:pPr>
        <w:pStyle w:val="Akapitzlist"/>
        <w:jc w:val="both"/>
      </w:pPr>
      <w:r>
        <w:t xml:space="preserve">▪ Przewód neutralny jasnoniebieski N </w:t>
      </w:r>
    </w:p>
    <w:p w14:paraId="0E797D57" w14:textId="77777777" w:rsidR="00F3722D" w:rsidRDefault="00F3722D" w:rsidP="003024AD">
      <w:pPr>
        <w:pStyle w:val="Akapitzlist"/>
        <w:jc w:val="both"/>
      </w:pPr>
      <w:r>
        <w:lastRenderedPageBreak/>
        <w:t xml:space="preserve">▪ Przewód ochronny zielono-żółty PE </w:t>
      </w:r>
    </w:p>
    <w:p w14:paraId="18153A71" w14:textId="77777777" w:rsidR="00F3722D" w:rsidRDefault="00F3722D" w:rsidP="003024AD">
      <w:pPr>
        <w:pStyle w:val="Akapitzlist"/>
        <w:jc w:val="both"/>
      </w:pPr>
      <w:r>
        <w:t xml:space="preserve">▪ Przewody sterujące AC czerwony </w:t>
      </w:r>
    </w:p>
    <w:p w14:paraId="3539B30B" w14:textId="77777777" w:rsidR="00F3722D" w:rsidRDefault="00F3722D" w:rsidP="003024AD">
      <w:pPr>
        <w:pStyle w:val="Akapitzlist"/>
        <w:jc w:val="both"/>
      </w:pPr>
      <w:r>
        <w:t xml:space="preserve">▪ Przewody sterujące DC ciemnoniebieskie </w:t>
      </w:r>
    </w:p>
    <w:p w14:paraId="064CA218" w14:textId="77777777" w:rsidR="00F3722D" w:rsidRDefault="00F3722D" w:rsidP="003024AD">
      <w:pPr>
        <w:pStyle w:val="Akapitzlist"/>
        <w:jc w:val="both"/>
      </w:pPr>
      <w:r>
        <w:t xml:space="preserve">▪ Przewody pod napięciem po wył. wyłącznika głównego zasilania pomarańczowe 2. Pozostawić 20% wolnych pozycji na listwach połączeniowych oraz 20% wolnego miejsca w szafie na dodatkowe elementy. </w:t>
      </w:r>
    </w:p>
    <w:p w14:paraId="15630737" w14:textId="3DCEB573" w:rsidR="00F3722D" w:rsidRDefault="00F3722D" w:rsidP="003024AD">
      <w:pPr>
        <w:jc w:val="both"/>
      </w:pPr>
      <w:r w:rsidRPr="00552639">
        <w:rPr>
          <w:b/>
          <w:bCs/>
        </w:rPr>
        <w:t xml:space="preserve">Stosować wyłącznie przewody miedziane w podwójnej izolacji </w:t>
      </w:r>
      <w:proofErr w:type="spellStart"/>
      <w:r w:rsidRPr="00552639">
        <w:rPr>
          <w:b/>
          <w:bCs/>
        </w:rPr>
        <w:t>polwinitowej</w:t>
      </w:r>
      <w:proofErr w:type="spellEnd"/>
      <w:r w:rsidRPr="00552639">
        <w:rPr>
          <w:b/>
          <w:bCs/>
        </w:rPr>
        <w:t>, żyły okrągłe, wykonane w postaci linki</w:t>
      </w:r>
      <w:r>
        <w:t xml:space="preserve">. </w:t>
      </w:r>
      <w:r w:rsidRPr="00552639">
        <w:rPr>
          <w:b/>
          <w:bCs/>
        </w:rPr>
        <w:t>Dla połączeń falownik → silnik bezwzględnie kable lub przewody ekranowane</w:t>
      </w:r>
      <w:r>
        <w:t xml:space="preserve">. Ekran połączony do urządzeń po obu stronach. </w:t>
      </w:r>
    </w:p>
    <w:p w14:paraId="764DF678" w14:textId="77777777" w:rsidR="00F3722D" w:rsidRDefault="00F3722D" w:rsidP="003024AD">
      <w:pPr>
        <w:jc w:val="both"/>
      </w:pPr>
      <w:r>
        <w:t xml:space="preserve">Do połączeń sterowniczych stosować kable o odpowiednio dobranych przekrojach, z kolorowymi żyłami, analogicznie jak na nowo instalowanych maszynach (nie stosować kabli wielożyłowych z numerowanymi żyłami o jednakowym kolorze żył). </w:t>
      </w:r>
    </w:p>
    <w:p w14:paraId="3E20D5E7" w14:textId="77777777" w:rsidR="00F3722D" w:rsidRDefault="00F3722D" w:rsidP="003024AD">
      <w:pPr>
        <w:jc w:val="both"/>
      </w:pPr>
      <w:r>
        <w:t xml:space="preserve">Wszystkie trasy kablowe prowadzić co najmniej 30cm od posadzki w celu łatwego czyszczenia obszaru maszyny. </w:t>
      </w:r>
    </w:p>
    <w:p w14:paraId="2CF52F3E" w14:textId="77777777" w:rsidR="00F3722D" w:rsidRDefault="00F3722D" w:rsidP="003024AD">
      <w:pPr>
        <w:jc w:val="both"/>
      </w:pPr>
      <w:r>
        <w:t xml:space="preserve">Stosować koryta/drabiny kablowe o grubości ścianki co najmniej 1,5 mm z przykrywkami. Odcinek drabiny poniżej poziomu 2,5m od posadzki ma być osłonięty pokrywą pozbawioną ostrych krawędzi, przymocowaną do drabiny połączeniem śrubowym. W miejscu styku drabiny z posadzką zastosować dodatkowe połączenia wyrównawcze (przewód linka 25 mm2 ) z najbliższym punktem metalowym konstrukcyjnym maszyny lub hali. </w:t>
      </w:r>
    </w:p>
    <w:p w14:paraId="650A4462" w14:textId="77777777" w:rsidR="00F3722D" w:rsidRDefault="00F3722D" w:rsidP="003024AD">
      <w:pPr>
        <w:jc w:val="both"/>
      </w:pPr>
      <w:proofErr w:type="spellStart"/>
      <w:r>
        <w:t>Peszle</w:t>
      </w:r>
      <w:proofErr w:type="spellEnd"/>
      <w:r>
        <w:t xml:space="preserve"> olejoodporne koloru czarnego (dławiki metalowe lub plastikowe dopasowane do grubości </w:t>
      </w:r>
      <w:proofErr w:type="spellStart"/>
      <w:r>
        <w:t>peszla</w:t>
      </w:r>
      <w:proofErr w:type="spellEnd"/>
      <w:r>
        <w:t xml:space="preserve">, typ umożliwiający wkręcenie </w:t>
      </w:r>
      <w:proofErr w:type="spellStart"/>
      <w:r>
        <w:t>peszla</w:t>
      </w:r>
      <w:proofErr w:type="spellEnd"/>
      <w:r>
        <w:t xml:space="preserve"> w dławik). </w:t>
      </w:r>
    </w:p>
    <w:p w14:paraId="15AE6DD3" w14:textId="77777777" w:rsidR="00F3722D" w:rsidRDefault="00F3722D" w:rsidP="003024AD">
      <w:pPr>
        <w:jc w:val="both"/>
      </w:pPr>
      <w:r>
        <w:t>Stosować metalowe puszki przyłączeniowo-rozgałęźne, identyczne jak na pozostałych maszynach.</w:t>
      </w:r>
    </w:p>
    <w:p w14:paraId="39E6B899" w14:textId="77777777" w:rsidR="00F3722D" w:rsidRDefault="00F3722D" w:rsidP="003024AD">
      <w:pPr>
        <w:jc w:val="both"/>
      </w:pPr>
      <w:r>
        <w:t xml:space="preserve">Kable sygnałowe i zasilające prowadzić osobnymi torami kablowymi. </w:t>
      </w:r>
    </w:p>
    <w:p w14:paraId="0A0FC719" w14:textId="3E13E2E8" w:rsidR="00F3722D" w:rsidRDefault="00F3722D" w:rsidP="003024AD">
      <w:pPr>
        <w:jc w:val="both"/>
      </w:pPr>
      <w:r>
        <w:t>W obwodach bezpieczeństwa stosować wyłącznie przekaźniki pomocnicze. Wykonać na maszynie odpowiednie połączenia wyrównawcze przy pomocy bednarki wychodzącej z posadzki hali, a w przypadku jej braku zastosować kabel wyrównawczy linka PE 25 mm2 jako połączenie ramy maszyny z konstrukcją wsporczą dachu. Wykonać również dodatkowe połączenia wyrównawcze (płotki, ogrodzenia, konstrukcja maszyny, blachy na posadzce) w postaci linki miedzianej o przekroju 25 mm2 w izolacji żółto/zielonej, punkty łączeniowe (śruby M8 miedziane cynowane). Połączenia wykonać zgodnie ze standardem HPM oraz obowiązującą normą.</w:t>
      </w:r>
    </w:p>
    <w:p w14:paraId="438F7396" w14:textId="6E9E72B4" w:rsidR="00237C4A" w:rsidRDefault="00237C4A" w:rsidP="003024AD">
      <w:pPr>
        <w:jc w:val="both"/>
      </w:pPr>
      <w:r>
        <w:t xml:space="preserve">Główny wyłącznik elektryczny musi być miejscu łatwo dostępnym, umożliwiający wyłączenie urządzenia bez otwierania drzwi szafy. Połącznie rozłączne sygnałowe z końcówka Y lub tulejka, zasilanie realizowane na połączeniach oczkowych. </w:t>
      </w:r>
    </w:p>
    <w:p w14:paraId="09D51B83" w14:textId="77777777" w:rsidR="004B79D1" w:rsidRDefault="004B79D1" w:rsidP="003024AD">
      <w:pPr>
        <w:jc w:val="both"/>
      </w:pPr>
    </w:p>
    <w:p w14:paraId="36432637" w14:textId="76440710" w:rsidR="00237C4A" w:rsidRDefault="00237C4A" w:rsidP="003024AD">
      <w:pPr>
        <w:jc w:val="both"/>
      </w:pPr>
      <w:r>
        <w:t xml:space="preserve">Oznaczenie kabli, przewodów i elementów automatyki: </w:t>
      </w:r>
    </w:p>
    <w:p w14:paraId="2ACFE255" w14:textId="042A918D" w:rsidR="00237C4A" w:rsidRDefault="00237C4A" w:rsidP="003024AD">
      <w:pPr>
        <w:jc w:val="both"/>
      </w:pPr>
    </w:p>
    <w:p w14:paraId="13D88B00" w14:textId="77777777" w:rsidR="00E01CE0" w:rsidRDefault="00237C4A" w:rsidP="003024AD">
      <w:pPr>
        <w:jc w:val="both"/>
      </w:pPr>
      <w:r>
        <w:t xml:space="preserve">• Stosować oznaczniki kabli i przewodów zgodnie z schematem w postaci dopasowanych do przekroju przewodu nadrukowanych tulejek. Niedopuszczalne jest stosowanie oznaczników w postaci koralików i opisów ręcznych. Oznaczenia kabli i przewodów umieścić na wszystkich kablach i przewodach wewnątrz szafy sterowniczej jak również i w skrzynkach podłączeniowych na maszynie.  </w:t>
      </w:r>
    </w:p>
    <w:p w14:paraId="795B2CE6" w14:textId="1BF4A7DD" w:rsidR="00237C4A" w:rsidRDefault="00237C4A" w:rsidP="003024AD">
      <w:pPr>
        <w:jc w:val="both"/>
      </w:pPr>
      <w:r>
        <w:lastRenderedPageBreak/>
        <w:t xml:space="preserve">• Aparaty elektryczne wewnątrz szaf zasilająco-sterowniczych i na maszynie oznaczyć zgodnie z schematem elektrycznym. Aparaty elektryczne na maszynie mają mieć trwałą etykietę (grawerowaną lub laminowaną) przywiązaną drutem DY 0,5 w izolacji białej. Etykiety na panelach operatorskich i kasetach sterowniczych mają być grawerowane i trwale przymocowane. </w:t>
      </w:r>
    </w:p>
    <w:p w14:paraId="701E8A50" w14:textId="39D666B8" w:rsidR="00237C4A" w:rsidRDefault="00237C4A" w:rsidP="003024AD">
      <w:pPr>
        <w:jc w:val="both"/>
      </w:pPr>
      <w:r>
        <w:t>• Wszystkie sygnalizatory optyczne muszą być czytelnie opisane.</w:t>
      </w:r>
    </w:p>
    <w:p w14:paraId="712F81B9" w14:textId="46909117" w:rsidR="00237C4A" w:rsidRDefault="00237C4A" w:rsidP="003024AD">
      <w:pPr>
        <w:jc w:val="both"/>
      </w:pPr>
    </w:p>
    <w:p w14:paraId="331AF500" w14:textId="50AB885F" w:rsidR="00237C4A" w:rsidRDefault="00237C4A" w:rsidP="003024AD">
      <w:pPr>
        <w:jc w:val="both"/>
        <w:rPr>
          <w:b/>
          <w:bCs/>
        </w:rPr>
      </w:pPr>
      <w:r w:rsidRPr="00237C4A">
        <w:rPr>
          <w:b/>
          <w:bCs/>
        </w:rPr>
        <w:t>Logika oznaczenia kabli, przewodów i elementów automatyki</w:t>
      </w:r>
    </w:p>
    <w:p w14:paraId="5F9B8997" w14:textId="6CFA40F7" w:rsidR="00237C4A" w:rsidRDefault="00237C4A" w:rsidP="003024AD">
      <w:pPr>
        <w:jc w:val="both"/>
        <w:rPr>
          <w:b/>
          <w:bCs/>
        </w:rPr>
      </w:pPr>
    </w:p>
    <w:p w14:paraId="5A20FBAA" w14:textId="77777777" w:rsidR="00237C4A" w:rsidRDefault="00237C4A" w:rsidP="003024AD">
      <w:pPr>
        <w:jc w:val="both"/>
      </w:pPr>
      <w:r>
        <w:t xml:space="preserve">• Urządzenia i maszyny modyfikowane Podczas modyfikowania dokumentacji elektrycznej maszyn i urządzeń należy zachować zasady oznaczania przyjęte w dokumentacji oryginalnej. </w:t>
      </w:r>
    </w:p>
    <w:p w14:paraId="0EA96A50" w14:textId="77777777" w:rsidR="00237C4A" w:rsidRDefault="00237C4A" w:rsidP="003024AD">
      <w:pPr>
        <w:jc w:val="both"/>
      </w:pPr>
      <w:r>
        <w:t xml:space="preserve">• Urządzenia i maszyny nowoprojektowane Dla maszyn i urządzeń nowoprojektowanych należy stosować następującą logikę oznaczania: o Oznaczanie przewodów i kabli </w:t>
      </w:r>
    </w:p>
    <w:p w14:paraId="49770A31" w14:textId="77777777" w:rsidR="00237C4A" w:rsidRDefault="00237C4A" w:rsidP="003024AD">
      <w:pPr>
        <w:jc w:val="both"/>
      </w:pPr>
      <w:r>
        <w:t xml:space="preserve">▪ pierwsza pozycja – numer strony; </w:t>
      </w:r>
    </w:p>
    <w:p w14:paraId="01DE440E" w14:textId="77777777" w:rsidR="00596214" w:rsidRDefault="00237C4A" w:rsidP="003024AD">
      <w:pPr>
        <w:jc w:val="both"/>
      </w:pPr>
      <w:r>
        <w:t xml:space="preserve">▪ druga pozycja – kolejny numer na stronie lub numer kolumny (od 0 do 9) i numer przewodu. Pozycje rozdzielone ukośnikiem (np. 4/12) lub bez ukośnika - wówczas pierwsza pozycja składa się zawsze z trzech cyfr (np. 00412). </w:t>
      </w:r>
    </w:p>
    <w:p w14:paraId="6A242DFD" w14:textId="57DAD9B1" w:rsidR="00237C4A" w:rsidRDefault="00237C4A" w:rsidP="003024AD">
      <w:pPr>
        <w:jc w:val="both"/>
      </w:pPr>
      <w:r>
        <w:t xml:space="preserve">Oznaczenie przewodów zasilających po przejściu przez zabezpieczenie rozszerzyć o wyróżnik związany z numerem strony, zasilanym urządzeniem lub numer kolejny. (np.:L1→L11, L1→L1aux, 24V→24VA). o Oznaczanie elementów automatyki ▪ pierwsza pozycja – numer strony; </w:t>
      </w:r>
    </w:p>
    <w:p w14:paraId="796317AF" w14:textId="69909154" w:rsidR="00237C4A" w:rsidRDefault="00237C4A" w:rsidP="003024AD">
      <w:pPr>
        <w:jc w:val="both"/>
      </w:pPr>
      <w:r>
        <w:t xml:space="preserve">▪ druga pozycja - symbol literowy elementu; </w:t>
      </w:r>
    </w:p>
    <w:p w14:paraId="579B3F23" w14:textId="67728DA2" w:rsidR="00237C4A" w:rsidRDefault="00237C4A" w:rsidP="003024AD">
      <w:pPr>
        <w:jc w:val="both"/>
      </w:pPr>
      <w:r>
        <w:t>▪ trzecia pozycja – numer elementu na stronie (np.: 31K1, 31K2) Dla elementów podłączonych do wyjść sterownika akceptowane jest oznaczenie związane z adresem sterownika (np. 5K15: slot 5, K - przekaźnik, wyjście nr 15).</w:t>
      </w:r>
    </w:p>
    <w:p w14:paraId="30B05C9D" w14:textId="70B664CD" w:rsidR="00851435" w:rsidRDefault="00851435" w:rsidP="003024AD">
      <w:pPr>
        <w:jc w:val="both"/>
      </w:pPr>
    </w:p>
    <w:p w14:paraId="20460077" w14:textId="388C8F9A" w:rsidR="005B38E8" w:rsidRDefault="005B38E8" w:rsidP="003024AD">
      <w:pPr>
        <w:jc w:val="both"/>
      </w:pPr>
    </w:p>
    <w:p w14:paraId="3DF5D601" w14:textId="77777777" w:rsidR="004B79D1" w:rsidRDefault="004B79D1" w:rsidP="00F3722D"/>
    <w:p w14:paraId="7D848EAA" w14:textId="396D0D58" w:rsidR="00851435" w:rsidRPr="00851435" w:rsidRDefault="00851435" w:rsidP="00F3722D">
      <w:pPr>
        <w:rPr>
          <w:b/>
          <w:bCs/>
        </w:rPr>
      </w:pPr>
      <w:r w:rsidRPr="00851435">
        <w:rPr>
          <w:b/>
          <w:bCs/>
        </w:rPr>
        <w:t>Wytyczne podczas pisania/modyfikacji programu PLC</w:t>
      </w:r>
    </w:p>
    <w:p w14:paraId="3971F18C" w14:textId="77777777" w:rsidR="00851435" w:rsidRDefault="00851435" w:rsidP="00851435">
      <w:pPr>
        <w:spacing w:after="0"/>
      </w:pPr>
      <w:r>
        <w:rPr>
          <w:rFonts w:ascii="Arial" w:hAnsi="Arial" w:cs="Arial"/>
        </w:rPr>
        <w:t>■</w:t>
      </w:r>
      <w:r>
        <w:t xml:space="preserve"> program w postaci LADDER-</w:t>
      </w:r>
      <w:r>
        <w:rPr>
          <w:rFonts w:ascii="Calibri" w:hAnsi="Calibri" w:cs="Calibri"/>
        </w:rPr>
        <w:t>ó</w:t>
      </w:r>
      <w:r>
        <w:t xml:space="preserve">w (bez SFC, FBD, ST), </w:t>
      </w:r>
    </w:p>
    <w:p w14:paraId="05F08ED2" w14:textId="77777777" w:rsidR="00851435" w:rsidRDefault="00851435" w:rsidP="00851435">
      <w:pPr>
        <w:spacing w:after="0"/>
      </w:pPr>
      <w:r>
        <w:rPr>
          <w:rFonts w:ascii="Arial" w:hAnsi="Arial" w:cs="Arial"/>
        </w:rPr>
        <w:t>■</w:t>
      </w:r>
      <w:r>
        <w:t xml:space="preserve"> struktura programu z u</w:t>
      </w:r>
      <w:r>
        <w:rPr>
          <w:rFonts w:ascii="Calibri" w:hAnsi="Calibri" w:cs="Calibri"/>
        </w:rPr>
        <w:t>ż</w:t>
      </w:r>
      <w:r>
        <w:t>yciem podprogram</w:t>
      </w:r>
      <w:r>
        <w:rPr>
          <w:rFonts w:ascii="Calibri" w:hAnsi="Calibri" w:cs="Calibri"/>
        </w:rPr>
        <w:t>ó</w:t>
      </w:r>
      <w:r>
        <w:t xml:space="preserve">w bez </w:t>
      </w:r>
      <w:proofErr w:type="spellStart"/>
      <w:r>
        <w:t>odwo</w:t>
      </w:r>
      <w:r>
        <w:rPr>
          <w:rFonts w:ascii="Calibri" w:hAnsi="Calibri" w:cs="Calibri"/>
        </w:rPr>
        <w:t>ł</w:t>
      </w:r>
      <w:r>
        <w:t>a</w:t>
      </w:r>
      <w:r>
        <w:rPr>
          <w:rFonts w:ascii="Calibri" w:hAnsi="Calibri" w:cs="Calibri"/>
        </w:rPr>
        <w:t>ń</w:t>
      </w:r>
      <w:proofErr w:type="spellEnd"/>
      <w:r>
        <w:t xml:space="preserve"> parametrycznych, </w:t>
      </w:r>
    </w:p>
    <w:p w14:paraId="3F0DB9B3" w14:textId="463C8A02" w:rsidR="00851435" w:rsidRDefault="00851435" w:rsidP="00851435">
      <w:pPr>
        <w:spacing w:after="0"/>
      </w:pPr>
      <w:r>
        <w:rPr>
          <w:rFonts w:ascii="Arial" w:hAnsi="Arial" w:cs="Arial"/>
        </w:rPr>
        <w:t>■</w:t>
      </w:r>
      <w:r>
        <w:t xml:space="preserve"> u</w:t>
      </w:r>
      <w:r>
        <w:rPr>
          <w:rFonts w:ascii="Calibri" w:hAnsi="Calibri" w:cs="Calibri"/>
        </w:rPr>
        <w:t>ż</w:t>
      </w:r>
      <w:r>
        <w:t>ywa</w:t>
      </w:r>
      <w:r>
        <w:rPr>
          <w:rFonts w:ascii="Calibri" w:hAnsi="Calibri" w:cs="Calibri"/>
        </w:rPr>
        <w:t>ć</w:t>
      </w:r>
      <w:r>
        <w:t xml:space="preserve"> wy</w:t>
      </w:r>
      <w:r>
        <w:rPr>
          <w:rFonts w:ascii="Calibri" w:hAnsi="Calibri" w:cs="Calibri"/>
        </w:rPr>
        <w:t>łą</w:t>
      </w:r>
      <w:r>
        <w:t>cznie oryginalnych instrukcji dost</w:t>
      </w:r>
      <w:r>
        <w:rPr>
          <w:rFonts w:ascii="Calibri" w:hAnsi="Calibri" w:cs="Calibri"/>
        </w:rPr>
        <w:t>ę</w:t>
      </w:r>
      <w:r>
        <w:t>pnych z poziomu programu</w:t>
      </w:r>
      <w:r w:rsidR="00E01CE0">
        <w:t>,</w:t>
      </w:r>
      <w:r w:rsidR="00552639">
        <w:t xml:space="preserve"> </w:t>
      </w:r>
    </w:p>
    <w:p w14:paraId="07D3C3CE" w14:textId="77777777" w:rsidR="00851435" w:rsidRDefault="00851435" w:rsidP="00851435">
      <w:pPr>
        <w:spacing w:after="0"/>
      </w:pPr>
      <w:r>
        <w:rPr>
          <w:rFonts w:ascii="Arial" w:hAnsi="Arial" w:cs="Arial"/>
        </w:rPr>
        <w:t>■</w:t>
      </w:r>
      <w:r>
        <w:t xml:space="preserve"> unika</w:t>
      </w:r>
      <w:r>
        <w:rPr>
          <w:rFonts w:ascii="Calibri" w:hAnsi="Calibri" w:cs="Calibri"/>
        </w:rPr>
        <w:t>ć</w:t>
      </w:r>
      <w:r>
        <w:t xml:space="preserve"> stosowania bit</w:t>
      </w:r>
      <w:r>
        <w:rPr>
          <w:rFonts w:ascii="Calibri" w:hAnsi="Calibri" w:cs="Calibri"/>
        </w:rPr>
        <w:t>ó</w:t>
      </w:r>
      <w:r>
        <w:t xml:space="preserve">w OTL i OTU, zamiast nich używać bity OTE, </w:t>
      </w:r>
    </w:p>
    <w:p w14:paraId="6B63AD44" w14:textId="77777777" w:rsidR="00851435" w:rsidRDefault="00851435" w:rsidP="00851435">
      <w:pPr>
        <w:spacing w:after="0"/>
      </w:pPr>
      <w:r>
        <w:rPr>
          <w:rFonts w:ascii="Arial" w:hAnsi="Arial" w:cs="Arial"/>
        </w:rPr>
        <w:t>■</w:t>
      </w:r>
      <w:r>
        <w:t xml:space="preserve"> wszystkie zmienne powinny posiada</w:t>
      </w:r>
      <w:r>
        <w:rPr>
          <w:rFonts w:ascii="Calibri" w:hAnsi="Calibri" w:cs="Calibri"/>
        </w:rPr>
        <w:t>ć</w:t>
      </w:r>
      <w:r>
        <w:t xml:space="preserve"> komentarze, opisy jasne i zrozumia</w:t>
      </w:r>
      <w:r>
        <w:rPr>
          <w:rFonts w:ascii="Calibri" w:hAnsi="Calibri" w:cs="Calibri"/>
        </w:rPr>
        <w:t>ł</w:t>
      </w:r>
      <w:r>
        <w:t xml:space="preserve">e (w uzgodnieniu z inżynierem prowadzącym), </w:t>
      </w:r>
    </w:p>
    <w:p w14:paraId="5C847460" w14:textId="77777777" w:rsidR="00851435" w:rsidRDefault="00851435" w:rsidP="00851435">
      <w:pPr>
        <w:spacing w:after="0"/>
      </w:pPr>
      <w:r>
        <w:rPr>
          <w:rFonts w:ascii="Arial" w:hAnsi="Arial" w:cs="Arial"/>
        </w:rPr>
        <w:t>■</w:t>
      </w:r>
      <w:r>
        <w:t xml:space="preserve"> oznaczenia urz</w:t>
      </w:r>
      <w:r>
        <w:rPr>
          <w:rFonts w:ascii="Calibri" w:hAnsi="Calibri" w:cs="Calibri"/>
        </w:rPr>
        <w:t>ą</w:t>
      </w:r>
      <w:r>
        <w:t>dze</w:t>
      </w:r>
      <w:r>
        <w:rPr>
          <w:rFonts w:ascii="Calibri" w:hAnsi="Calibri" w:cs="Calibri"/>
        </w:rPr>
        <w:t>ń</w:t>
      </w:r>
      <w:r>
        <w:t xml:space="preserve"> zgodnie z dokumentacj</w:t>
      </w:r>
      <w:r>
        <w:rPr>
          <w:rFonts w:ascii="Calibri" w:hAnsi="Calibri" w:cs="Calibri"/>
        </w:rPr>
        <w:t>ą</w:t>
      </w:r>
      <w:r>
        <w:t xml:space="preserve">, </w:t>
      </w:r>
    </w:p>
    <w:p w14:paraId="190D47FA" w14:textId="22F30982" w:rsidR="00851435" w:rsidRDefault="00851435" w:rsidP="00851435">
      <w:pPr>
        <w:spacing w:after="0"/>
      </w:pPr>
      <w:r>
        <w:rPr>
          <w:rFonts w:ascii="Arial" w:hAnsi="Arial" w:cs="Arial"/>
        </w:rPr>
        <w:t>■</w:t>
      </w:r>
      <w:r>
        <w:t xml:space="preserve"> Wszystkie elementy na maszynie, kt</w:t>
      </w:r>
      <w:r>
        <w:rPr>
          <w:rFonts w:ascii="Calibri" w:hAnsi="Calibri" w:cs="Calibri"/>
        </w:rPr>
        <w:t>ó</w:t>
      </w:r>
      <w:r>
        <w:t>rych przewody wchodz</w:t>
      </w:r>
      <w:r>
        <w:rPr>
          <w:rFonts w:ascii="Calibri" w:hAnsi="Calibri" w:cs="Calibri"/>
        </w:rPr>
        <w:t>ą</w:t>
      </w:r>
      <w:r>
        <w:t xml:space="preserve"> na zaciski I/O oznaczyć etykietami, o opisie i symbolach, które jednoznacznie kojarzą się z wejściem/wyjściem w programie (dla we/wy stosować aliasy, np. wejście w PLC: IN2307 odpowiada na maszynie fotokomórce PH2307 lub wyjście w PLC: OT3511 odpowiada na maszynie elektrozaworowi SV3511). Szczegóły wymagań związanych z przygotowaniem aplikacją należy uzgodnić przed jej wykonaniem. Każdorazowo należy przedstawić </w:t>
      </w:r>
      <w:r>
        <w:lastRenderedPageBreak/>
        <w:t>oprogramowanie do akceptacji inżyniera prowadzącego przed jego uruchomieniem na obiekcie, a następnie po jego uruchomieniu. Ostateczną wersje aplikacji należy przekazać w formie elektronicznej pliku źródłowego.</w:t>
      </w:r>
    </w:p>
    <w:p w14:paraId="60C0743A" w14:textId="5237B128" w:rsidR="00851435" w:rsidRDefault="00851435" w:rsidP="00851435">
      <w:pPr>
        <w:spacing w:after="0"/>
      </w:pPr>
    </w:p>
    <w:p w14:paraId="3D942E70" w14:textId="78C64F88" w:rsidR="00851435" w:rsidRDefault="00851435" w:rsidP="00851435">
      <w:pPr>
        <w:spacing w:after="0"/>
      </w:pPr>
    </w:p>
    <w:p w14:paraId="6AE6143B" w14:textId="17A31725" w:rsidR="00851435" w:rsidRDefault="00851435" w:rsidP="00851435">
      <w:pPr>
        <w:spacing w:after="0"/>
      </w:pPr>
    </w:p>
    <w:p w14:paraId="66BB95B8" w14:textId="051739D6" w:rsidR="00851435" w:rsidRDefault="00851435" w:rsidP="00851435">
      <w:pPr>
        <w:spacing w:after="0"/>
      </w:pPr>
      <w:r>
        <w:t>Bezpieczeństwo</w:t>
      </w:r>
    </w:p>
    <w:p w14:paraId="6712671C" w14:textId="480A88FE" w:rsidR="00851435" w:rsidRDefault="00851435" w:rsidP="00851435">
      <w:pPr>
        <w:spacing w:after="0"/>
      </w:pPr>
    </w:p>
    <w:p w14:paraId="573660B9" w14:textId="252C94CB" w:rsidR="00851435" w:rsidRPr="00237C4A" w:rsidRDefault="00851435" w:rsidP="00851435">
      <w:pPr>
        <w:spacing w:after="0"/>
        <w:rPr>
          <w:b/>
          <w:bCs/>
        </w:rPr>
      </w:pPr>
      <w:r>
        <w:t xml:space="preserve">Maszyna wyposażona ma być w aktywne zabezpieczenia. Aktywne oznacza, że niedozwolone czynności obsługowe mają samoczynnie wyzwalać wyłączenie awaryjne maszyny. Ruchome, ostre i gorące elementy mają być niedostępne i zabezpieczone w taki sposób, aby zabezpieczenia (osłony) nie ograniczały czynności obsługowych. Linki bezpieczeństwa będące na wyposażeniu maszyny zatrzymują w trybie awaryjnym całą linię. Pozostały osprzęt bezpieczeństwa, tj. przyciski E-STOP, kurtyny bezpieczeństwa, wyłączniki krańcowe, drzwiowe, klapy </w:t>
      </w:r>
      <w:proofErr w:type="spellStart"/>
      <w:r>
        <w:t>wychyłowe</w:t>
      </w:r>
      <w:proofErr w:type="spellEnd"/>
      <w:r>
        <w:t xml:space="preserve"> (kick </w:t>
      </w:r>
      <w:proofErr w:type="spellStart"/>
      <w:r>
        <w:t>plate</w:t>
      </w:r>
      <w:proofErr w:type="spellEnd"/>
      <w:r>
        <w:t>), zatrzymują awaryjnie jedynie strefę, do której przynależą.</w:t>
      </w:r>
    </w:p>
    <w:p w14:paraId="5BF01EAA" w14:textId="77777777" w:rsidR="001B2535" w:rsidRDefault="002F2F34" w:rsidP="002F2F34">
      <w:pPr>
        <w:pStyle w:val="Nagwek1"/>
      </w:pPr>
      <w:bookmarkStart w:id="9" w:name="_Toc104353231"/>
      <w:r>
        <w:t>UWAGI KO</w:t>
      </w:r>
      <w:r w:rsidR="001B2535">
        <w:t>Ń</w:t>
      </w:r>
      <w:r>
        <w:t>COWE</w:t>
      </w:r>
      <w:bookmarkEnd w:id="9"/>
    </w:p>
    <w:p w14:paraId="2D00CBF6" w14:textId="06E9DB88" w:rsidR="00216F19" w:rsidRDefault="00216F19" w:rsidP="00216F19"/>
    <w:p w14:paraId="5497A694" w14:textId="14087E46" w:rsidR="001B2535" w:rsidRDefault="004B79D1" w:rsidP="004B79D1">
      <w:pPr>
        <w:pStyle w:val="Akapitzlist"/>
        <w:numPr>
          <w:ilvl w:val="0"/>
          <w:numId w:val="18"/>
        </w:numPr>
      </w:pPr>
      <w:r>
        <w:t xml:space="preserve">Wykonawca musi potwierdzić w ofercie zgodność oferty z niniejszą specyfikacją. Wszystkie prace niedoprecyzowane niniejszą specyfikacją muszą być wyjaśnione pisemnie z prowadzącymi temat ze strony HPM. Nie wolno wykonywać samowolnych instalacji. </w:t>
      </w:r>
    </w:p>
    <w:p w14:paraId="24E10EBC" w14:textId="61D28D80" w:rsidR="004B79D1" w:rsidRDefault="004B79D1" w:rsidP="004B79D1">
      <w:pPr>
        <w:pStyle w:val="Akapitzlist"/>
        <w:numPr>
          <w:ilvl w:val="0"/>
          <w:numId w:val="18"/>
        </w:numPr>
      </w:pPr>
      <w:r>
        <w:t>Wykonawca jest odpowiedzialny za prawidłowe zapakowanie zamawianego wyrobu do transportu i jego zabezpieczenie przed korozją i uszkodzeniami podczas transportu.</w:t>
      </w:r>
    </w:p>
    <w:p w14:paraId="658B5A4A" w14:textId="498E7781" w:rsidR="004B79D1" w:rsidRDefault="004B79D1" w:rsidP="004B79D1">
      <w:pPr>
        <w:pStyle w:val="Akapitzlist"/>
        <w:numPr>
          <w:ilvl w:val="0"/>
          <w:numId w:val="18"/>
        </w:numPr>
      </w:pPr>
      <w:r>
        <w:t>Pracownicy Wykonawcy muszą posiadać odpowiednie uprawnienia do obsługi urządzeń i narzędzi niezbędnych do realizacji zamówienia oraz aktualne uprawnienia elektryczne.</w:t>
      </w:r>
    </w:p>
    <w:p w14:paraId="798B7709" w14:textId="0FD12F5B" w:rsidR="004B79D1" w:rsidRDefault="004B79D1" w:rsidP="004B79D1">
      <w:pPr>
        <w:pStyle w:val="Akapitzlist"/>
        <w:numPr>
          <w:ilvl w:val="0"/>
          <w:numId w:val="18"/>
        </w:numPr>
      </w:pPr>
      <w:r>
        <w:t>Wykonawca musi posiadać odpowiednie ubezpieczenie prac instalacyjno-montażowych.</w:t>
      </w:r>
    </w:p>
    <w:p w14:paraId="671276B8" w14:textId="345CDBED" w:rsidR="004B79D1" w:rsidRDefault="00016D4B" w:rsidP="004B79D1">
      <w:pPr>
        <w:pStyle w:val="Akapitzlist"/>
        <w:numPr>
          <w:ilvl w:val="0"/>
          <w:numId w:val="18"/>
        </w:numPr>
      </w:pPr>
      <w:r>
        <w:t>Wykonawca odpowiada za odpowiednie zabezpieczenie terenu i bezpieczeństwo ludzi podczas wykonywanych prac, zwłaszcza podczas prac na wysokości i prac pożarowo niebezpiecznych.</w:t>
      </w:r>
    </w:p>
    <w:p w14:paraId="696DE059" w14:textId="601EA0DE" w:rsidR="00016D4B" w:rsidRDefault="00016D4B" w:rsidP="004B79D1">
      <w:pPr>
        <w:pStyle w:val="Akapitzlist"/>
        <w:numPr>
          <w:ilvl w:val="0"/>
          <w:numId w:val="18"/>
        </w:numPr>
      </w:pPr>
      <w:r>
        <w:t>Zakazane jest stosowanie drewnianych drabin.</w:t>
      </w:r>
    </w:p>
    <w:p w14:paraId="120E4370" w14:textId="57A1DCA4" w:rsidR="00016D4B" w:rsidRDefault="00016D4B" w:rsidP="004B79D1">
      <w:pPr>
        <w:pStyle w:val="Akapitzlist"/>
        <w:numPr>
          <w:ilvl w:val="0"/>
          <w:numId w:val="18"/>
        </w:numPr>
      </w:pPr>
      <w:r>
        <w:t>Wszystkie urządzenia i narzędzia wymagające dopuszczenia przez odpowiednie urzędy powinny posiadać widoczne oznaczenia lub dokumenty – gotowe do wglądu.</w:t>
      </w:r>
    </w:p>
    <w:p w14:paraId="779A64CE" w14:textId="75254F7D" w:rsidR="00016D4B" w:rsidRDefault="00016D4B" w:rsidP="004B79D1">
      <w:pPr>
        <w:pStyle w:val="Akapitzlist"/>
        <w:numPr>
          <w:ilvl w:val="0"/>
          <w:numId w:val="18"/>
        </w:numPr>
      </w:pPr>
      <w:r>
        <w:t>Opakowania transportowe, palety transportowe, podpory, zaślepki i materiały zabezpieczające podczas transportu utylizuje Wykonawca. Wszelkie odpady muszą być składowane w odpowiednich kontenerach (kontenery dostarcza Wykonawca) i usuwane na koszt Wykonawcy.</w:t>
      </w:r>
    </w:p>
    <w:p w14:paraId="33676E04" w14:textId="62802EA1" w:rsidR="00016D4B" w:rsidRDefault="00AE2831" w:rsidP="004B79D1">
      <w:pPr>
        <w:pStyle w:val="Akapitzlist"/>
        <w:numPr>
          <w:ilvl w:val="0"/>
          <w:numId w:val="18"/>
        </w:numPr>
      </w:pPr>
      <w:r>
        <w:t>Do obowiązków Wykonawcy należy oczyszczenie ze smarów czy kurzu, uzupełnienie ubytków farby na konstrukcji (RAL 2008 lub RAL 5012), nasmarowanie elementów oraz sprawdzenie i zamarkowanie pozycji wszystkich połączeń złącznych przedmiotu zamówienia.</w:t>
      </w:r>
    </w:p>
    <w:p w14:paraId="6A89D065" w14:textId="429D8B57" w:rsidR="00AE2831" w:rsidRDefault="00AE2831" w:rsidP="004B79D1">
      <w:pPr>
        <w:pStyle w:val="Akapitzlist"/>
        <w:numPr>
          <w:ilvl w:val="0"/>
          <w:numId w:val="18"/>
        </w:numPr>
      </w:pPr>
      <w:r>
        <w:t>Wykonawca jest zobowiązany do codziennego raportowania wykonanych prac ze szczególnym uwzględnieniem wyników pomiarów. Wykonawca musi przedstawić dzienny raport postępów instalacji do zatwierdzenia przez HPM (do godz. 10.00 dnia następnego).</w:t>
      </w:r>
    </w:p>
    <w:p w14:paraId="30F75CAD" w14:textId="16C59236" w:rsidR="00AE2831" w:rsidRDefault="00AE2831" w:rsidP="004B79D1">
      <w:pPr>
        <w:pStyle w:val="Akapitzlist"/>
        <w:numPr>
          <w:ilvl w:val="0"/>
          <w:numId w:val="18"/>
        </w:numPr>
      </w:pPr>
      <w:r>
        <w:t>Ewentualną obsługę geodezyjną (wytyczenie osi, sprawdzenie po montażu) zapewnia Wykonawca.</w:t>
      </w:r>
    </w:p>
    <w:p w14:paraId="3486F011" w14:textId="422C9051" w:rsidR="00AE2831" w:rsidRDefault="00AE2831" w:rsidP="004B79D1">
      <w:pPr>
        <w:pStyle w:val="Akapitzlist"/>
        <w:numPr>
          <w:ilvl w:val="0"/>
          <w:numId w:val="18"/>
        </w:numPr>
      </w:pPr>
      <w:r>
        <w:t>Wykonawca zapewnia we własnym zakresie wszelkie materiały i sprzęt niezbędny do realizacji zamówienia, jak np. wózki podnośnikowe, drabiny, rusztowania, narzędzia.</w:t>
      </w:r>
    </w:p>
    <w:p w14:paraId="42A93DE8" w14:textId="4DC7BF92" w:rsidR="00AE2831" w:rsidRDefault="00AE2831" w:rsidP="004B79D1">
      <w:pPr>
        <w:pStyle w:val="Akapitzlist"/>
        <w:numPr>
          <w:ilvl w:val="0"/>
          <w:numId w:val="18"/>
        </w:numPr>
      </w:pPr>
      <w:r>
        <w:lastRenderedPageBreak/>
        <w:t>Wykonawca zapewnia we własnym zakresie komputer/laptop z licencjonowanym oprogramowaniem i osprzętem do realizacji przedmiotu zamówienia.</w:t>
      </w:r>
    </w:p>
    <w:p w14:paraId="030D22E7" w14:textId="3A304C90" w:rsidR="00AE2831" w:rsidRPr="00E755C0" w:rsidRDefault="00AE2831" w:rsidP="004B79D1">
      <w:pPr>
        <w:pStyle w:val="Akapitzlist"/>
        <w:numPr>
          <w:ilvl w:val="0"/>
          <w:numId w:val="18"/>
        </w:numPr>
        <w:rPr>
          <w:rFonts w:cstheme="minorHAnsi"/>
        </w:rPr>
      </w:pPr>
      <w:r w:rsidRPr="00E755C0">
        <w:rPr>
          <w:rFonts w:cstheme="minorHAnsi"/>
        </w:rPr>
        <w:t>Wszelkie nowe i modernizowane instalacje hydrauliczne muszą mieć zaznaczone w miejscach widocznych kierunki przepływu.</w:t>
      </w:r>
    </w:p>
    <w:p w14:paraId="69F5F193" w14:textId="690BCFCA" w:rsidR="00AE2831" w:rsidRPr="00E755C0" w:rsidRDefault="00AE2831" w:rsidP="004B79D1">
      <w:pPr>
        <w:pStyle w:val="Akapitzlist"/>
        <w:numPr>
          <w:ilvl w:val="0"/>
          <w:numId w:val="18"/>
        </w:numPr>
        <w:rPr>
          <w:rFonts w:cstheme="minorHAnsi"/>
        </w:rPr>
      </w:pPr>
      <w:r w:rsidRPr="00E755C0">
        <w:rPr>
          <w:rFonts w:cstheme="minorHAnsi"/>
        </w:rPr>
        <w:t>W przypadku opóźnienia prac z przyczyn leżących po stronie wykonawcy Zamawiający ma prawo żądać podjęcia natychmiastowych środków zaradczych.</w:t>
      </w:r>
    </w:p>
    <w:p w14:paraId="7132F21C" w14:textId="4688C777" w:rsidR="00E755C0" w:rsidRPr="00E755C0" w:rsidRDefault="00E755C0" w:rsidP="00E755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pl-PL"/>
        </w:rPr>
      </w:pPr>
      <w:r w:rsidRPr="00E755C0">
        <w:rPr>
          <w:rFonts w:eastAsia="Times New Roman" w:cstheme="minorHAnsi"/>
          <w:color w:val="222222"/>
          <w:lang w:eastAsia="pl-PL"/>
        </w:rPr>
        <w:t xml:space="preserve">Wszystkie przewody, puszki, złączki elektryczne muszą być zabudowane, aby zapobiec osadzaniu się zabrudzeń lub osłonięte tak aby podczas czyszczenia nie stwarzać zagrożenia dla osoby wykonującej czynność. </w:t>
      </w:r>
    </w:p>
    <w:p w14:paraId="4A7F0080" w14:textId="48DB4157" w:rsidR="00E755C0" w:rsidRPr="00E755C0" w:rsidRDefault="00E755C0" w:rsidP="00E755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pl-PL"/>
        </w:rPr>
      </w:pPr>
      <w:r w:rsidRPr="00E755C0">
        <w:rPr>
          <w:rFonts w:eastAsia="Times New Roman" w:cstheme="minorHAnsi"/>
          <w:color w:val="222222"/>
          <w:lang w:eastAsia="pl-PL"/>
        </w:rPr>
        <w:t xml:space="preserve">Wszystkie elementy urządzeń, instalacji muszą być zabezpieczone przed przypadkowym uszkodzeniem. </w:t>
      </w:r>
    </w:p>
    <w:p w14:paraId="054310BC" w14:textId="67E9A07B" w:rsidR="00E755C0" w:rsidRPr="00E755C0" w:rsidRDefault="00E755C0" w:rsidP="00E755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pl-PL"/>
        </w:rPr>
      </w:pPr>
      <w:r w:rsidRPr="00E755C0">
        <w:rPr>
          <w:rFonts w:eastAsia="Times New Roman" w:cstheme="minorHAnsi"/>
          <w:color w:val="222222"/>
          <w:lang w:eastAsia="pl-PL"/>
        </w:rPr>
        <w:t>W urządzeniach, gdzie montowane są mierniki lub czujniki mierzące parametry procesu musi być możliwość monitorowania działania czujników/mierników (okresowego sprawdzania poprawności odczytów).</w:t>
      </w:r>
    </w:p>
    <w:p w14:paraId="78E5B4CA" w14:textId="3FE65185" w:rsidR="00E755C0" w:rsidRPr="00E755C0" w:rsidRDefault="00E755C0" w:rsidP="00E755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pl-PL"/>
        </w:rPr>
      </w:pPr>
      <w:r w:rsidRPr="00E755C0">
        <w:rPr>
          <w:rFonts w:eastAsia="Times New Roman" w:cstheme="minorHAnsi"/>
          <w:color w:val="222222"/>
          <w:lang w:eastAsia="pl-PL"/>
        </w:rPr>
        <w:t xml:space="preserve">Stosowane urządzenia, w miarę możliwości, muszą być tak posadowione aby nie tworzyć martwych stref, gdzie nie ma możliwości usunięcia gromadzących się zanieczyszczeń. </w:t>
      </w:r>
    </w:p>
    <w:p w14:paraId="1F55A7F0" w14:textId="07EB2CE6" w:rsidR="00E755C0" w:rsidRPr="00E755C0" w:rsidRDefault="00E755C0" w:rsidP="00E755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pl-PL"/>
        </w:rPr>
      </w:pPr>
      <w:r w:rsidRPr="00E755C0">
        <w:rPr>
          <w:rFonts w:eastAsia="Times New Roman" w:cstheme="minorHAnsi"/>
          <w:color w:val="222222"/>
          <w:lang w:eastAsia="pl-PL"/>
        </w:rPr>
        <w:t xml:space="preserve">Nie ma możliwości swobodnego poruszania się po terenie poza obszar w jakim wykonywane są zlecone prace, jeżeli taka potrzeba zachodzi to tylko w obecności kierownika zmiany. </w:t>
      </w:r>
    </w:p>
    <w:p w14:paraId="34187416" w14:textId="264EE9C8" w:rsidR="00E755C0" w:rsidRDefault="00E755C0" w:rsidP="00E755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pl-PL"/>
        </w:rPr>
      </w:pPr>
      <w:r w:rsidRPr="00E755C0">
        <w:rPr>
          <w:rFonts w:eastAsia="Times New Roman" w:cstheme="minorHAnsi"/>
          <w:color w:val="222222"/>
          <w:lang w:eastAsia="pl-PL"/>
        </w:rPr>
        <w:t>Wykonawca zapewni środki ochrony osobistej swoim pracownikom.</w:t>
      </w:r>
    </w:p>
    <w:p w14:paraId="12F8859C" w14:textId="632A63A6" w:rsidR="00E755C0" w:rsidRDefault="00E755C0" w:rsidP="007B0A6C"/>
    <w:p w14:paraId="2DA61AA5" w14:textId="77777777" w:rsidR="00A461B0" w:rsidRPr="007B0A6C" w:rsidRDefault="00A461B0" w:rsidP="00A461B0">
      <w:pPr>
        <w:pStyle w:val="Nagwek1"/>
      </w:pPr>
    </w:p>
    <w:sectPr w:rsidR="00A461B0" w:rsidRPr="007B0A6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8ACFC" w14:textId="77777777" w:rsidR="008A76D3" w:rsidRDefault="008A76D3" w:rsidP="004864D4">
      <w:pPr>
        <w:spacing w:after="0" w:line="240" w:lineRule="auto"/>
      </w:pPr>
      <w:r>
        <w:separator/>
      </w:r>
    </w:p>
  </w:endnote>
  <w:endnote w:type="continuationSeparator" w:id="0">
    <w:p w14:paraId="100A413D" w14:textId="77777777" w:rsidR="008A76D3" w:rsidRDefault="008A76D3" w:rsidP="0048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618C" w14:textId="77777777" w:rsidR="008A76D3" w:rsidRDefault="008A76D3" w:rsidP="004864D4">
      <w:pPr>
        <w:spacing w:after="0" w:line="240" w:lineRule="auto"/>
      </w:pPr>
      <w:r>
        <w:separator/>
      </w:r>
    </w:p>
  </w:footnote>
  <w:footnote w:type="continuationSeparator" w:id="0">
    <w:p w14:paraId="71C4512E" w14:textId="77777777" w:rsidR="008A76D3" w:rsidRDefault="008A76D3" w:rsidP="00486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9A24F" w14:textId="179C3338" w:rsidR="004864D4" w:rsidRPr="001B2535" w:rsidRDefault="001B2535" w:rsidP="001B2535">
    <w:pPr>
      <w:pStyle w:val="Nagwek"/>
      <w:jc w:val="right"/>
    </w:pPr>
    <w:r w:rsidRPr="001B2535">
      <w:rPr>
        <w:noProof/>
      </w:rPr>
      <w:drawing>
        <wp:inline distT="0" distB="0" distL="0" distR="0" wp14:anchorId="5E65B838" wp14:editId="0D318C93">
          <wp:extent cx="576262" cy="479112"/>
          <wp:effectExtent l="0" t="0" r="0" b="0"/>
          <wp:docPr id="20" name="Grafika 18" descr="Obraz zawierający tekst, zegar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74E73538-6F14-994D-8C72-9BB0112843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fika 18" descr="Obraz zawierający tekst, zegar&#10;&#10;Opis wygenerowany automatycznie">
                    <a:extLst>
                      <a:ext uri="{FF2B5EF4-FFF2-40B4-BE49-F238E27FC236}">
                        <a16:creationId xmlns:a16="http://schemas.microsoft.com/office/drawing/2014/main" id="{74E73538-6F14-994D-8C72-9BB01128438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67" cy="484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981"/>
    <w:multiLevelType w:val="hybridMultilevel"/>
    <w:tmpl w:val="E6667D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511E"/>
    <w:multiLevelType w:val="hybridMultilevel"/>
    <w:tmpl w:val="5198BAF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CBD611D"/>
    <w:multiLevelType w:val="hybridMultilevel"/>
    <w:tmpl w:val="229C01B8"/>
    <w:lvl w:ilvl="0" w:tplc="38242B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E1702086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plc="6736EF3E">
      <w:start w:val="1"/>
      <w:numFmt w:val="lowerLetter"/>
      <w:lvlText w:val="%3."/>
      <w:lvlJc w:val="left"/>
      <w:pPr>
        <w:ind w:left="121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06386"/>
    <w:multiLevelType w:val="hybridMultilevel"/>
    <w:tmpl w:val="A02E79AA"/>
    <w:lvl w:ilvl="0" w:tplc="38242B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42B19"/>
    <w:multiLevelType w:val="hybridMultilevel"/>
    <w:tmpl w:val="3034BB94"/>
    <w:lvl w:ilvl="0" w:tplc="78143A4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A3813B2"/>
    <w:multiLevelType w:val="hybridMultilevel"/>
    <w:tmpl w:val="8E582D46"/>
    <w:lvl w:ilvl="0" w:tplc="79984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30F72"/>
    <w:multiLevelType w:val="hybridMultilevel"/>
    <w:tmpl w:val="EE48C182"/>
    <w:lvl w:ilvl="0" w:tplc="40067B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C407B3"/>
    <w:multiLevelType w:val="hybridMultilevel"/>
    <w:tmpl w:val="F3663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836A5"/>
    <w:multiLevelType w:val="hybridMultilevel"/>
    <w:tmpl w:val="6F9E9CF0"/>
    <w:lvl w:ilvl="0" w:tplc="27589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C10FC"/>
    <w:multiLevelType w:val="multilevel"/>
    <w:tmpl w:val="B1BC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487C4A"/>
    <w:multiLevelType w:val="hybridMultilevel"/>
    <w:tmpl w:val="0384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5280A"/>
    <w:multiLevelType w:val="hybridMultilevel"/>
    <w:tmpl w:val="17C2C320"/>
    <w:lvl w:ilvl="0" w:tplc="B0BCA87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4313C59"/>
    <w:multiLevelType w:val="hybridMultilevel"/>
    <w:tmpl w:val="AD4E24FC"/>
    <w:lvl w:ilvl="0" w:tplc="E17020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E3E4A"/>
    <w:multiLevelType w:val="hybridMultilevel"/>
    <w:tmpl w:val="01AED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1789F"/>
    <w:multiLevelType w:val="hybridMultilevel"/>
    <w:tmpl w:val="D430AD40"/>
    <w:lvl w:ilvl="0" w:tplc="87788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C4592"/>
    <w:multiLevelType w:val="hybridMultilevel"/>
    <w:tmpl w:val="0E3C503A"/>
    <w:lvl w:ilvl="0" w:tplc="85A6A4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468F6"/>
    <w:multiLevelType w:val="hybridMultilevel"/>
    <w:tmpl w:val="29C86194"/>
    <w:lvl w:ilvl="0" w:tplc="88F83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21498"/>
    <w:multiLevelType w:val="hybridMultilevel"/>
    <w:tmpl w:val="3FA89832"/>
    <w:lvl w:ilvl="0" w:tplc="88F83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43333"/>
    <w:multiLevelType w:val="hybridMultilevel"/>
    <w:tmpl w:val="DA6275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5052E"/>
    <w:multiLevelType w:val="hybridMultilevel"/>
    <w:tmpl w:val="8C0C0F9E"/>
    <w:lvl w:ilvl="0" w:tplc="88F83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7561A"/>
    <w:multiLevelType w:val="hybridMultilevel"/>
    <w:tmpl w:val="FDFC47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D75728"/>
    <w:multiLevelType w:val="hybridMultilevel"/>
    <w:tmpl w:val="9EF25440"/>
    <w:lvl w:ilvl="0" w:tplc="72B6167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17B6A"/>
    <w:multiLevelType w:val="hybridMultilevel"/>
    <w:tmpl w:val="62FE1324"/>
    <w:lvl w:ilvl="0" w:tplc="F606C7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752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B107291"/>
    <w:multiLevelType w:val="hybridMultilevel"/>
    <w:tmpl w:val="631C8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020D9"/>
    <w:multiLevelType w:val="hybridMultilevel"/>
    <w:tmpl w:val="5AA274BC"/>
    <w:lvl w:ilvl="0" w:tplc="319EE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46B43"/>
    <w:multiLevelType w:val="hybridMultilevel"/>
    <w:tmpl w:val="82CC3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718943">
    <w:abstractNumId w:val="5"/>
  </w:num>
  <w:num w:numId="2" w16cid:durableId="2054619432">
    <w:abstractNumId w:val="25"/>
  </w:num>
  <w:num w:numId="3" w16cid:durableId="1497723718">
    <w:abstractNumId w:val="2"/>
  </w:num>
  <w:num w:numId="4" w16cid:durableId="1102187344">
    <w:abstractNumId w:val="6"/>
  </w:num>
  <w:num w:numId="5" w16cid:durableId="977877848">
    <w:abstractNumId w:val="18"/>
  </w:num>
  <w:num w:numId="6" w16cid:durableId="1279223039">
    <w:abstractNumId w:val="20"/>
  </w:num>
  <w:num w:numId="7" w16cid:durableId="2029213484">
    <w:abstractNumId w:val="1"/>
  </w:num>
  <w:num w:numId="8" w16cid:durableId="1784496176">
    <w:abstractNumId w:val="23"/>
  </w:num>
  <w:num w:numId="9" w16cid:durableId="2007006888">
    <w:abstractNumId w:val="12"/>
  </w:num>
  <w:num w:numId="10" w16cid:durableId="857548458">
    <w:abstractNumId w:val="21"/>
  </w:num>
  <w:num w:numId="11" w16cid:durableId="51780741">
    <w:abstractNumId w:val="15"/>
  </w:num>
  <w:num w:numId="12" w16cid:durableId="633874731">
    <w:abstractNumId w:val="3"/>
  </w:num>
  <w:num w:numId="13" w16cid:durableId="1140418471">
    <w:abstractNumId w:val="17"/>
  </w:num>
  <w:num w:numId="14" w16cid:durableId="449513225">
    <w:abstractNumId w:val="16"/>
  </w:num>
  <w:num w:numId="15" w16cid:durableId="687488589">
    <w:abstractNumId w:val="19"/>
  </w:num>
  <w:num w:numId="16" w16cid:durableId="638918293">
    <w:abstractNumId w:val="22"/>
  </w:num>
  <w:num w:numId="17" w16cid:durableId="1095132997">
    <w:abstractNumId w:val="8"/>
  </w:num>
  <w:num w:numId="18" w16cid:durableId="1000810006">
    <w:abstractNumId w:val="14"/>
  </w:num>
  <w:num w:numId="19" w16cid:durableId="462308177">
    <w:abstractNumId w:val="9"/>
  </w:num>
  <w:num w:numId="20" w16cid:durableId="1839269272">
    <w:abstractNumId w:val="4"/>
  </w:num>
  <w:num w:numId="21" w16cid:durableId="378362766">
    <w:abstractNumId w:val="24"/>
  </w:num>
  <w:num w:numId="22" w16cid:durableId="1005015815">
    <w:abstractNumId w:val="13"/>
  </w:num>
  <w:num w:numId="23" w16cid:durableId="1746105824">
    <w:abstractNumId w:val="11"/>
  </w:num>
  <w:num w:numId="24" w16cid:durableId="1790052892">
    <w:abstractNumId w:val="10"/>
  </w:num>
  <w:num w:numId="25" w16cid:durableId="622081982">
    <w:abstractNumId w:val="7"/>
  </w:num>
  <w:num w:numId="26" w16cid:durableId="900336403">
    <w:abstractNumId w:val="0"/>
  </w:num>
  <w:num w:numId="27" w16cid:durableId="147980727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61"/>
    <w:rsid w:val="0000237F"/>
    <w:rsid w:val="00006B6C"/>
    <w:rsid w:val="0000721E"/>
    <w:rsid w:val="00016D4B"/>
    <w:rsid w:val="00026E13"/>
    <w:rsid w:val="000273AF"/>
    <w:rsid w:val="0005456E"/>
    <w:rsid w:val="000932CD"/>
    <w:rsid w:val="00093687"/>
    <w:rsid w:val="00095EAE"/>
    <w:rsid w:val="000C2E7D"/>
    <w:rsid w:val="000F62C8"/>
    <w:rsid w:val="0011703C"/>
    <w:rsid w:val="00186BE1"/>
    <w:rsid w:val="00194116"/>
    <w:rsid w:val="001974EF"/>
    <w:rsid w:val="001A7DFA"/>
    <w:rsid w:val="001B2535"/>
    <w:rsid w:val="0020270F"/>
    <w:rsid w:val="002151CF"/>
    <w:rsid w:val="00216F19"/>
    <w:rsid w:val="00226485"/>
    <w:rsid w:val="00235456"/>
    <w:rsid w:val="00237C4A"/>
    <w:rsid w:val="0027130E"/>
    <w:rsid w:val="00271FC7"/>
    <w:rsid w:val="00282B15"/>
    <w:rsid w:val="00293D50"/>
    <w:rsid w:val="002A1361"/>
    <w:rsid w:val="002B482F"/>
    <w:rsid w:val="002D407B"/>
    <w:rsid w:val="002E6BA1"/>
    <w:rsid w:val="002F2F34"/>
    <w:rsid w:val="003024AD"/>
    <w:rsid w:val="00331062"/>
    <w:rsid w:val="00337A81"/>
    <w:rsid w:val="00345F08"/>
    <w:rsid w:val="00347582"/>
    <w:rsid w:val="00377201"/>
    <w:rsid w:val="003A59B7"/>
    <w:rsid w:val="003D4997"/>
    <w:rsid w:val="004139F0"/>
    <w:rsid w:val="00452431"/>
    <w:rsid w:val="004864D4"/>
    <w:rsid w:val="004B5E51"/>
    <w:rsid w:val="004B79D1"/>
    <w:rsid w:val="004C2C7F"/>
    <w:rsid w:val="004E3B42"/>
    <w:rsid w:val="004F69C6"/>
    <w:rsid w:val="00532ECE"/>
    <w:rsid w:val="00552639"/>
    <w:rsid w:val="00567CCE"/>
    <w:rsid w:val="00596214"/>
    <w:rsid w:val="005B38E8"/>
    <w:rsid w:val="00600141"/>
    <w:rsid w:val="006012FF"/>
    <w:rsid w:val="00635E41"/>
    <w:rsid w:val="00640ABF"/>
    <w:rsid w:val="00653355"/>
    <w:rsid w:val="006678A7"/>
    <w:rsid w:val="00683603"/>
    <w:rsid w:val="00685955"/>
    <w:rsid w:val="006D6FEC"/>
    <w:rsid w:val="006E5610"/>
    <w:rsid w:val="006F0629"/>
    <w:rsid w:val="007134C4"/>
    <w:rsid w:val="00727747"/>
    <w:rsid w:val="007453FD"/>
    <w:rsid w:val="007759BA"/>
    <w:rsid w:val="007A2C50"/>
    <w:rsid w:val="007B0A6C"/>
    <w:rsid w:val="007C60CD"/>
    <w:rsid w:val="007D2702"/>
    <w:rsid w:val="007E0AB5"/>
    <w:rsid w:val="007E1D7E"/>
    <w:rsid w:val="00802F4A"/>
    <w:rsid w:val="00851435"/>
    <w:rsid w:val="00867E75"/>
    <w:rsid w:val="008A2460"/>
    <w:rsid w:val="008A76D3"/>
    <w:rsid w:val="008C3DF5"/>
    <w:rsid w:val="008D31FD"/>
    <w:rsid w:val="008E14F6"/>
    <w:rsid w:val="00971608"/>
    <w:rsid w:val="009776E8"/>
    <w:rsid w:val="00981DB5"/>
    <w:rsid w:val="0099173A"/>
    <w:rsid w:val="009A350C"/>
    <w:rsid w:val="009A5071"/>
    <w:rsid w:val="009A760E"/>
    <w:rsid w:val="009C67E9"/>
    <w:rsid w:val="00A335CD"/>
    <w:rsid w:val="00A36866"/>
    <w:rsid w:val="00A461B0"/>
    <w:rsid w:val="00A571F7"/>
    <w:rsid w:val="00A62D88"/>
    <w:rsid w:val="00AE2831"/>
    <w:rsid w:val="00AE619C"/>
    <w:rsid w:val="00AF6DB1"/>
    <w:rsid w:val="00B50C59"/>
    <w:rsid w:val="00B52C87"/>
    <w:rsid w:val="00B5300C"/>
    <w:rsid w:val="00B73414"/>
    <w:rsid w:val="00B75DC6"/>
    <w:rsid w:val="00BA36AF"/>
    <w:rsid w:val="00BA4A96"/>
    <w:rsid w:val="00BC66C5"/>
    <w:rsid w:val="00BE66F7"/>
    <w:rsid w:val="00C26157"/>
    <w:rsid w:val="00C34A18"/>
    <w:rsid w:val="00C56B98"/>
    <w:rsid w:val="00C703BA"/>
    <w:rsid w:val="00C85173"/>
    <w:rsid w:val="00C91071"/>
    <w:rsid w:val="00C956D9"/>
    <w:rsid w:val="00CA4C12"/>
    <w:rsid w:val="00CE3C55"/>
    <w:rsid w:val="00D01B26"/>
    <w:rsid w:val="00D12E50"/>
    <w:rsid w:val="00D25FF4"/>
    <w:rsid w:val="00D31FDF"/>
    <w:rsid w:val="00DA0506"/>
    <w:rsid w:val="00DD26B7"/>
    <w:rsid w:val="00E01CE0"/>
    <w:rsid w:val="00E37E97"/>
    <w:rsid w:val="00E456E2"/>
    <w:rsid w:val="00E54CC6"/>
    <w:rsid w:val="00E61D25"/>
    <w:rsid w:val="00E7093E"/>
    <w:rsid w:val="00E72D3C"/>
    <w:rsid w:val="00E755C0"/>
    <w:rsid w:val="00EE51A7"/>
    <w:rsid w:val="00EF4CE5"/>
    <w:rsid w:val="00F0210E"/>
    <w:rsid w:val="00F0311B"/>
    <w:rsid w:val="00F21D00"/>
    <w:rsid w:val="00F3722D"/>
    <w:rsid w:val="00F76CCE"/>
    <w:rsid w:val="00FA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B24B"/>
  <w15:chartTrackingRefBased/>
  <w15:docId w15:val="{D21E84E8-6CB2-4694-AB2A-1F7626F0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1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31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4D4"/>
  </w:style>
  <w:style w:type="paragraph" w:styleId="Stopka">
    <w:name w:val="footer"/>
    <w:basedOn w:val="Normalny"/>
    <w:link w:val="StopkaZnak"/>
    <w:uiPriority w:val="99"/>
    <w:unhideWhenUsed/>
    <w:rsid w:val="0048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4D4"/>
  </w:style>
  <w:style w:type="table" w:styleId="Tabela-Siatka">
    <w:name w:val="Table Grid"/>
    <w:basedOn w:val="Standardowy"/>
    <w:uiPriority w:val="39"/>
    <w:rsid w:val="00282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31F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D31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D3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C956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5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B38E8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B38E8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5B38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07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78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78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8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0A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0A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0A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A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A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6" ma:contentTypeDescription="Utwórz nowy dokument." ma:contentTypeScope="" ma:versionID="462fa0d232f85c172980180f44a38e72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340b08c29c819d666805038cd937b3f0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A94CA5-5D8D-4E43-B66D-67E8187BB0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38C642-615E-4231-B94F-3F954AAF0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1D7EE-21FA-4063-A6DC-E500A7A89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14</Pages>
  <Words>4214</Words>
  <Characters>25290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HiProMine</dc:creator>
  <cp:keywords/>
  <dc:description/>
  <cp:lastModifiedBy>Grzegorz Hołyszewski</cp:lastModifiedBy>
  <cp:revision>19</cp:revision>
  <cp:lastPrinted>2023-03-23T09:30:00Z</cp:lastPrinted>
  <dcterms:created xsi:type="dcterms:W3CDTF">2023-03-28T07:05:00Z</dcterms:created>
  <dcterms:modified xsi:type="dcterms:W3CDTF">2023-04-07T06:24:00Z</dcterms:modified>
</cp:coreProperties>
</file>