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96E3" w14:textId="15876DA1" w:rsidR="000D17E0" w:rsidRDefault="008840F5" w:rsidP="00363AC5">
      <w:pPr>
        <w:jc w:val="center"/>
        <w:rPr>
          <w:b/>
        </w:rPr>
      </w:pPr>
      <w:r w:rsidRPr="008840F5">
        <w:rPr>
          <w:b/>
        </w:rPr>
        <w:t>Załącznik n</w:t>
      </w:r>
      <w:r w:rsidR="005A5AEF">
        <w:rPr>
          <w:b/>
        </w:rPr>
        <w:t xml:space="preserve">r 3 do Zapytania ofertowego nr </w:t>
      </w:r>
      <w:r w:rsidR="005A5AEF" w:rsidRPr="000E5DCF">
        <w:rPr>
          <w:b/>
          <w:bCs/>
          <w:bdr w:val="none" w:sz="0" w:space="0" w:color="auto" w:frame="1"/>
        </w:rPr>
        <w:t>A009</w:t>
      </w:r>
      <w:r w:rsidR="005A5AEF">
        <w:rPr>
          <w:b/>
          <w:bCs/>
          <w:bdr w:val="none" w:sz="0" w:space="0" w:color="auto" w:frame="1"/>
        </w:rPr>
        <w:t>/</w:t>
      </w:r>
      <w:r w:rsidR="00242498" w:rsidRPr="00242498">
        <w:rPr>
          <w:b/>
        </w:rPr>
        <w:t>01/0</w:t>
      </w:r>
      <w:r w:rsidR="005A5AEF">
        <w:rPr>
          <w:b/>
        </w:rPr>
        <w:t>3</w:t>
      </w:r>
      <w:r w:rsidR="00242498" w:rsidRPr="00242498">
        <w:rPr>
          <w:b/>
        </w:rPr>
        <w:t>/202</w:t>
      </w:r>
      <w:r w:rsidR="005A5AEF">
        <w:rPr>
          <w:b/>
        </w:rPr>
        <w:t>3</w:t>
      </w:r>
      <w:r w:rsidR="00242498" w:rsidRPr="00242498">
        <w:rPr>
          <w:b/>
        </w:rPr>
        <w:t>/</w:t>
      </w:r>
      <w:r w:rsidR="005A5AEF">
        <w:rPr>
          <w:b/>
        </w:rPr>
        <w:t>SIP/IJ/Z</w:t>
      </w:r>
    </w:p>
    <w:p w14:paraId="6BB9D1AA" w14:textId="6D0754DD" w:rsidR="003573FC" w:rsidRDefault="008840F5" w:rsidP="00363AC5">
      <w:pPr>
        <w:jc w:val="center"/>
        <w:rPr>
          <w:b/>
        </w:rPr>
      </w:pPr>
      <w:r w:rsidRPr="008840F5">
        <w:rPr>
          <w:b/>
        </w:rPr>
        <w:t>Spe</w:t>
      </w:r>
      <w:r w:rsidR="00CC71ED">
        <w:rPr>
          <w:b/>
        </w:rPr>
        <w:t>cyfikacja przedmiotu zamówienia</w:t>
      </w:r>
    </w:p>
    <w:p w14:paraId="52432150" w14:textId="77777777" w:rsidR="00363AC5" w:rsidRPr="008840F5" w:rsidRDefault="00363AC5" w:rsidP="00363AC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242498" w:rsidRPr="00D50D2B" w14:paraId="1EF0C4AD" w14:textId="77777777" w:rsidTr="00E02676">
        <w:trPr>
          <w:tblHeader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1BB07" w14:textId="77777777" w:rsidR="00242498" w:rsidRPr="00D50D2B" w:rsidRDefault="00242498" w:rsidP="00E02676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50D2B">
              <w:rPr>
                <w:rFonts w:cstheme="minorHAnsi"/>
                <w:b/>
                <w:bCs/>
              </w:rPr>
              <w:t>Specyfikacja:</w:t>
            </w:r>
            <w:r w:rsidRPr="00D50D2B">
              <w:rPr>
                <w:rFonts w:cstheme="minorHAnsi"/>
                <w:b/>
                <w:bCs/>
              </w:rPr>
              <w:br/>
              <w:t>opis wymagań minimalnych, które musi spełniać przedmiot zamówienia</w:t>
            </w: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42498" w14:paraId="155AEDA9" w14:textId="77777777" w:rsidTr="00E02676">
        <w:tc>
          <w:tcPr>
            <w:tcW w:w="5000" w:type="pct"/>
          </w:tcPr>
          <w:p w14:paraId="5468EE3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bookmarkStart w:id="0" w:name="_Hlk32930780"/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Przedmiot zamówienia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: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d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ostęp do Systemu Informacji Prawnej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 xml:space="preserve">(SIP)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w wersji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online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(Internet) oraz jego bieżących aktualizacji - wraz  z licencjami na korzystanie z tego oprogramowania na rzecz Zamawiającego – Wyższej Szkoły Bankowej we Wrocławiu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.</w:t>
            </w:r>
          </w:p>
          <w:p w14:paraId="5887531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Okres dostępu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: </w:t>
            </w:r>
            <w:r w:rsidRPr="00D26BB4">
              <w:rPr>
                <w:rFonts w:eastAsia="Times New Roman"/>
                <w:b/>
                <w:color w:val="201F1E"/>
                <w:bdr w:val="none" w:sz="0" w:space="0" w:color="auto" w:frame="1"/>
              </w:rPr>
              <w:t>12 miesięcy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- przedmiot zamówienia realizowany będzie w okresie 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1 roku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, licząc od następnego dnia po zawarciu umowy  w sprawie realizacji przedmiotu zamówienia.</w:t>
            </w:r>
          </w:p>
          <w:p w14:paraId="5A8AE85A" w14:textId="4A558554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</w:rPr>
            </w:pPr>
            <w:r w:rsidRPr="008A6D0D">
              <w:rPr>
                <w:b/>
                <w:color w:val="201F1E"/>
                <w:bdr w:val="none" w:sz="0" w:space="0" w:color="auto" w:frame="1"/>
              </w:rPr>
              <w:t xml:space="preserve">Zasięg: </w:t>
            </w:r>
            <w:bookmarkStart w:id="1" w:name="_Hlk32921801"/>
            <w:r w:rsidRPr="0003157A">
              <w:rPr>
                <w:rFonts w:eastAsia="Times New Roman"/>
                <w:color w:val="222222"/>
              </w:rPr>
              <w:t>dostęp no limit w sieci uczelnianej</w:t>
            </w:r>
            <w:bookmarkEnd w:id="1"/>
            <w:r w:rsidRPr="0003157A">
              <w:rPr>
                <w:rFonts w:eastAsia="Times New Roman"/>
                <w:color w:val="222222"/>
              </w:rPr>
              <w:t xml:space="preserve">, po IP komputerów + </w:t>
            </w:r>
            <w:r w:rsidR="004A2CA8">
              <w:rPr>
                <w:rFonts w:eastAsia="Times New Roman"/>
                <w:color w:val="222222"/>
              </w:rPr>
              <w:t>30</w:t>
            </w:r>
            <w:r w:rsidRPr="0003157A">
              <w:rPr>
                <w:rFonts w:eastAsia="Times New Roman"/>
                <w:color w:val="222222"/>
              </w:rPr>
              <w:t xml:space="preserve"> jednoczesnych dostępów na login i hasło</w:t>
            </w:r>
            <w:r w:rsidRPr="008A6D0D">
              <w:rPr>
                <w:rFonts w:eastAsia="Times New Roman"/>
                <w:color w:val="222222"/>
              </w:rPr>
              <w:t>.</w:t>
            </w:r>
          </w:p>
          <w:p w14:paraId="1E00A67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</w:rPr>
            </w:pPr>
            <w:r w:rsidRPr="008A6D0D">
              <w:rPr>
                <w:rFonts w:eastAsia="Times New Roman"/>
                <w:b/>
                <w:color w:val="222222"/>
              </w:rPr>
              <w:t>Aktualizacja:</w:t>
            </w:r>
            <w:r w:rsidRPr="008A6D0D">
              <w:rPr>
                <w:rFonts w:eastAsia="Times New Roman"/>
                <w:color w:val="222222"/>
              </w:rPr>
              <w:t xml:space="preserve"> </w:t>
            </w:r>
            <w:r w:rsidRPr="0003157A">
              <w:rPr>
                <w:rFonts w:eastAsia="Times New Roman"/>
                <w:color w:val="222222"/>
              </w:rPr>
              <w:t>W</w:t>
            </w:r>
            <w:r w:rsidRPr="008A6D0D">
              <w:rPr>
                <w:rFonts w:eastAsia="Times New Roman"/>
                <w:color w:val="222222"/>
              </w:rPr>
              <w:t xml:space="preserve">ykonawca </w:t>
            </w:r>
            <w:r w:rsidRPr="0003157A">
              <w:rPr>
                <w:rFonts w:eastAsia="Times New Roman"/>
                <w:color w:val="222222"/>
              </w:rPr>
              <w:t>musi</w:t>
            </w:r>
            <w:r w:rsidRPr="008A6D0D">
              <w:rPr>
                <w:rFonts w:eastAsia="Times New Roman"/>
                <w:color w:val="222222"/>
              </w:rPr>
              <w:t xml:space="preserve"> przez cały czas obowiązywania umowy aktualizować dostarczone oprogramowanie SIP w okresach minimum 5 razy w tygodniu – w dni robocze. </w:t>
            </w:r>
          </w:p>
          <w:p w14:paraId="19FF71BC" w14:textId="77777777" w:rsidR="00242498" w:rsidRPr="008A6D0D" w:rsidRDefault="00242498" w:rsidP="00E02676">
            <w:pPr>
              <w:jc w:val="both"/>
            </w:pPr>
          </w:p>
          <w:p w14:paraId="77BB03D9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03157A">
              <w:rPr>
                <w:rFonts w:eastAsia="Times New Roman"/>
                <w:b/>
                <w:color w:val="201F1E"/>
                <w:bdr w:val="none" w:sz="0" w:space="0" w:color="auto" w:frame="1"/>
              </w:rPr>
              <w:t>System Informacji Prawnej Online</w:t>
            </w:r>
          </w:p>
          <w:p w14:paraId="5C8F91C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 System Informacji Prawnej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Online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(Internet) oznacza aplikację udostępnioną na serwerze internetowym Wykonawcy, aktualizowaną przez Wykonawcę na bieżąco, nie rzadziej niż 5 razy w tygodniu (w każdy dzień roboczy), do której dostęp odbywa się z wykorzystaniem Internetu przez przeglądarkę internetową. </w:t>
            </w:r>
          </w:p>
          <w:p w14:paraId="3A11B949" w14:textId="77777777" w:rsidR="00D26BB4" w:rsidRDefault="00D26BB4" w:rsidP="00D26BB4">
            <w:pPr>
              <w:keepNext/>
              <w:tabs>
                <w:tab w:val="left" w:pos="3544"/>
              </w:tabs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0AD808D0" w14:textId="51A8B7D4" w:rsidR="00242498" w:rsidRDefault="00242498" w:rsidP="00D26BB4">
            <w:pPr>
              <w:keepNext/>
              <w:tabs>
                <w:tab w:val="left" w:pos="3544"/>
              </w:tabs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2. Z Systemu Informacji Prawnej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Online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musza mieć możliwość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korzysta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nia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 przez 24 godziny na dobę</w:t>
            </w:r>
            <w:r w:rsidR="00D26BB4">
              <w:rPr>
                <w:rFonts w:eastAsia="Times New Roman"/>
                <w:color w:val="201F1E"/>
                <w:bdr w:val="none" w:sz="0" w:space="0" w:color="auto" w:frame="1"/>
              </w:rPr>
              <w:t xml:space="preserve"> - z wyłączeniem </w:t>
            </w:r>
            <w:r w:rsidR="00D26BB4" w:rsidRPr="00D26BB4">
              <w:t>czasu niezbędnego do dokonania jego konserwacji, aktualizacji, modernizacji oraz testowania (łączna niedostępność z tych powodów nie może przekroczyć rocznie 3%</w:t>
            </w:r>
            <w:r w:rsidR="0022262A">
              <w:t xml:space="preserve"> -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wszyscy użytkownicy uzyskujący dostęp do  serwera  poprzez pulę stałych adresów IP należących do Zamawiającego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 xml:space="preserve"> - dostęp no limit w sieci uczelnianej.</w:t>
            </w:r>
          </w:p>
          <w:p w14:paraId="770337C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517FAFE6" w14:textId="4ACD0E1F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3. Dodatkowo Wykonawca 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 xml:space="preserve">musi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zapewni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ć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dostęp do System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u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Informacji Prawnej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 xml:space="preserve"> Online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przez 24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godziny na dobę </w:t>
            </w:r>
            <w:r w:rsidR="0022262A">
              <w:rPr>
                <w:rFonts w:eastAsia="Times New Roman"/>
                <w:color w:val="201F1E"/>
                <w:bdr w:val="none" w:sz="0" w:space="0" w:color="auto" w:frame="1"/>
              </w:rPr>
              <w:t xml:space="preserve">- z wyłączeniem </w:t>
            </w:r>
            <w:r w:rsidR="0022262A" w:rsidRPr="00D26BB4">
              <w:t>czasu niezbędnego do dokonania jego konserwacji, aktualizacji, modernizacji oraz testowania (łączna niedostępność z tych powodów nie może przekroczyć rocznie 3%</w:t>
            </w:r>
            <w:r w:rsidR="0022262A">
              <w:t xml:space="preserve"> - </w:t>
            </w:r>
            <w:r w:rsidRPr="008A6D0D">
              <w:rPr>
                <w:rFonts w:eastAsia="Times New Roman"/>
                <w:bCs/>
                <w:color w:val="201F1E"/>
                <w:bdr w:val="none" w:sz="0" w:space="0" w:color="auto" w:frame="1"/>
              </w:rPr>
              <w:t xml:space="preserve">dla </w:t>
            </w:r>
            <w:r w:rsidR="002D589E">
              <w:rPr>
                <w:rFonts w:eastAsia="Times New Roman"/>
                <w:bCs/>
                <w:color w:val="201F1E"/>
                <w:bdr w:val="none" w:sz="0" w:space="0" w:color="auto" w:frame="1"/>
              </w:rPr>
              <w:t>30</w:t>
            </w:r>
            <w:r w:rsidRPr="008A6D0D">
              <w:rPr>
                <w:rFonts w:eastAsia="Times New Roman"/>
                <w:bCs/>
                <w:color w:val="201F1E"/>
                <w:bdr w:val="none" w:sz="0" w:space="0" w:color="auto" w:frame="1"/>
              </w:rPr>
              <w:t xml:space="preserve"> użytkowników</w:t>
            </w:r>
            <w:r w:rsidRPr="0003157A">
              <w:rPr>
                <w:rFonts w:eastAsia="Times New Roman"/>
                <w:bCs/>
                <w:color w:val="201F1E"/>
                <w:bdr w:val="none" w:sz="0" w:space="0" w:color="auto" w:frame="1"/>
              </w:rPr>
              <w:t>,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 wykorzystaniem uwierzytelniani</w:t>
            </w:r>
            <w:r w:rsidR="0022262A">
              <w:rPr>
                <w:rFonts w:eastAsia="Times New Roman"/>
                <w:color w:val="201F1E"/>
                <w:bdr w:val="none" w:sz="0" w:space="0" w:color="auto" w:frame="1"/>
              </w:rPr>
              <w:t>a za pomocą loginu oraz hasła z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dowolnego urządzenia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, w tym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mobilnego</w:t>
            </w:r>
            <w:r w:rsidRPr="0003157A">
              <w:rPr>
                <w:rFonts w:eastAsia="Times New Roman"/>
                <w:color w:val="201F1E"/>
                <w:bdr w:val="none" w:sz="0" w:space="0" w:color="auto" w:frame="1"/>
              </w:rPr>
              <w:t>,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 dostępem do sieci Internet.</w:t>
            </w:r>
          </w:p>
          <w:p w14:paraId="2A8BE5E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53FF45C7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u w:val="singl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u w:val="single"/>
                <w:bdr w:val="none" w:sz="0" w:space="0" w:color="auto" w:frame="1"/>
              </w:rPr>
              <w:t>Minima</w:t>
            </w:r>
            <w:r>
              <w:rPr>
                <w:rFonts w:eastAsia="Times New Roman"/>
                <w:b/>
                <w:color w:val="201F1E"/>
                <w:u w:val="single"/>
                <w:bdr w:val="none" w:sz="0" w:space="0" w:color="auto" w:frame="1"/>
              </w:rPr>
              <w:t xml:space="preserve">lne wymagania merytoryczne dla </w:t>
            </w:r>
            <w:r w:rsidRPr="008A6D0D">
              <w:rPr>
                <w:rFonts w:eastAsia="Times New Roman"/>
                <w:b/>
                <w:color w:val="201F1E"/>
                <w:u w:val="single"/>
                <w:bdr w:val="none" w:sz="0" w:space="0" w:color="auto" w:frame="1"/>
              </w:rPr>
              <w:t xml:space="preserve">Systemu Informacji Prawnej </w:t>
            </w:r>
            <w:r w:rsidRPr="00255A57">
              <w:rPr>
                <w:rFonts w:eastAsia="Times New Roman"/>
                <w:b/>
                <w:color w:val="201F1E"/>
                <w:u w:val="single"/>
                <w:bdr w:val="none" w:sz="0" w:space="0" w:color="auto" w:frame="1"/>
              </w:rPr>
              <w:t>Online</w:t>
            </w:r>
          </w:p>
          <w:p w14:paraId="0324B6FE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328CDDA1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201F1E"/>
                <w:bdr w:val="none" w:sz="0" w:space="0" w:color="auto" w:frame="1"/>
              </w:rPr>
            </w:pPr>
            <w:r w:rsidRPr="00A157F1">
              <w:rPr>
                <w:rFonts w:eastAsia="Times New Roman"/>
                <w:b/>
                <w:bCs/>
                <w:color w:val="201F1E"/>
                <w:bdr w:val="none" w:sz="0" w:space="0" w:color="auto" w:frame="1"/>
              </w:rPr>
              <w:t>System Informacji Prawnej Online musi</w:t>
            </w:r>
            <w:r w:rsidRPr="008A6D0D">
              <w:rPr>
                <w:rFonts w:eastAsia="Times New Roman"/>
                <w:b/>
                <w:bCs/>
                <w:color w:val="201F1E"/>
                <w:bdr w:val="none" w:sz="0" w:space="0" w:color="auto" w:frame="1"/>
              </w:rPr>
              <w:t xml:space="preserve"> zawierać dostęp do następujących zbiorów: </w:t>
            </w:r>
          </w:p>
          <w:p w14:paraId="611F3B89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063BE3A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1. Akty prawne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 xml:space="preserve"> - zbiór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 zakresu prawa: konstytucyjnego, cywilnego, karnego, prawa administracyjnego, finansowego i ekonomii, gospodarczego, pracy i ubezpieczeń społecznych, informatycznego, europejskiego i międzynarodowego. </w:t>
            </w:r>
          </w:p>
          <w:p w14:paraId="4298E17F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7E0F939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Zbiory w Systemu Informacji Prawnej muszą zawierać akty prawne publikowane we wszystkich dziennikach urzędowych w rozumieniu ustawy z dnia 20 lipca 2000 r. o ogłaszaniu aktów normatywnych i niektórych aktów prawnych (Dz. U. z 2019r., poz. 1461) tj. Dziennik Ustaw RP, Dziennik Urzędowy Rzeczypospolitej Polskiej "Monitor Polski", dzienniki resortowe, dzienniki wojewódzkie.</w:t>
            </w:r>
          </w:p>
          <w:p w14:paraId="369DC227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5D2E11EE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lastRenderedPageBreak/>
              <w:t xml:space="preserve">1.1. Użytkownik </w:t>
            </w:r>
            <w:r w:rsidRPr="00255A57">
              <w:rPr>
                <w:rFonts w:eastAsia="Times New Roman"/>
                <w:b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 posiadać dostęp do wszystkich aktów prawnych publikowanych w Dzienniku Ustaw oraz możliwość korzystania ze wszystkich wskazanych funkcjonalności:</w:t>
            </w:r>
          </w:p>
          <w:p w14:paraId="4B72C767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0D58A27F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1.1.1. Komplet informacji formalnych o aktach prawnych od 1918 roku wraz z oceną co do obowiązywania (co najmniej: identyfikator, tytuł, organ wydający, data uchwalenia lub wydania aktu, data ogłoszenia, data wejścia w życie, skan oryginału). </w:t>
            </w:r>
          </w:p>
          <w:p w14:paraId="1C5EA114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1.1.2. Wszystkie akty prawne obowiązujące oraz oczekujące. </w:t>
            </w:r>
          </w:p>
          <w:p w14:paraId="755645E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1.1.3. Komplet tekstów aktów prawnych ujednoliconych, opublikowanych od 1 stycznia 1918 roku. </w:t>
            </w:r>
          </w:p>
          <w:p w14:paraId="09C5376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1.1.4. Udostępnianie wszystkich kolejnych wersji historycznych aktów prawnych obowiązujących i uchylonych. </w:t>
            </w:r>
          </w:p>
          <w:p w14:paraId="6DEBBED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1.1.5. Odzwierciedlenie wzajemnych powiązań formalnych pomiędzy aktami.</w:t>
            </w:r>
          </w:p>
          <w:p w14:paraId="0805161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1.1.6. Odwołania do przywołanych w aktach prawych przepisów innych aktów prawnych, w tym  aktów prawnych wykonawczych z poziomu tekstu aktu i konkretnych jednostek redakcyjnych tego aktu. </w:t>
            </w:r>
          </w:p>
          <w:p w14:paraId="462C93F8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1.1.7. Odwołania do orzeczeń z poziomu tekstu aktu prawnego i konkretnych jednostek redakcyjnych tego aktu. </w:t>
            </w:r>
          </w:p>
          <w:p w14:paraId="37356C5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1.1.8. Odwołania do cytatów/tez z piśmiennictwa prawniczego z poziomu tekstu aktu prawnego i konkretnych jednostek redakcyjnych tego aktu. </w:t>
            </w:r>
          </w:p>
          <w:p w14:paraId="178AC20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1.1.9. Odwołania do komentarzy z poziomu tekstu aktu prawnego i konkretnych jednostek redakcyjnych tego aktu. </w:t>
            </w:r>
          </w:p>
          <w:p w14:paraId="4142D17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1.1.10. Odwołania do monografii z poziomu tekstu aktu prawnego i konkretnych jednostek redakcyjnych tego aktu. </w:t>
            </w:r>
          </w:p>
          <w:p w14:paraId="3B69FE1F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1.1.11. Odwołania do pism urzędowych z poziomu tekstu aktu i konkretnych jednostek redakcyjnych tego aktu. </w:t>
            </w:r>
          </w:p>
          <w:p w14:paraId="6C46C0D4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1.1.12. Komplet tekstów projektów ustaw wraz z kompletem uzasadnień wraz z oceną co do ich aktualności; systemem relacji z aktami, w szczególności systemem relacji z aktami prawnymi obowiązującymi (zmienia/uchyla); </w:t>
            </w:r>
          </w:p>
          <w:p w14:paraId="71606F7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1.1.13. Możliwość przeglądania tekstów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projektów mogących zmienić akt prawny obowiązujący, z poziomu konkretnej jednostki redakcyjnej aktu prawnego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, której dotyczy projekt. </w:t>
            </w:r>
          </w:p>
          <w:p w14:paraId="1BA1EC99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2DFE697F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1.2. Użytkownik </w:t>
            </w:r>
            <w:r w:rsidRPr="00857ECA">
              <w:rPr>
                <w:rFonts w:eastAsia="Times New Roman"/>
                <w:b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 posiadać dostęp do wszystkich aktów prawnych publikowanych w  Monitorze Polskim oraz możliwość korzystania ze wszystkich wskazanych funkcjonalności:</w:t>
            </w:r>
          </w:p>
          <w:p w14:paraId="142204A8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highlight w:val="cyan"/>
                <w:bdr w:val="none" w:sz="0" w:space="0" w:color="auto" w:frame="1"/>
              </w:rPr>
            </w:pPr>
          </w:p>
          <w:p w14:paraId="78195A8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1.2.1. Komplet informacji formalnych o aktach od 1918 roku (co najmniej: identyfikator, tytuł, organ wydający, data uchwalenia lub wydania aktu, data ogłoszenia, data wejścia w życie, data utraty mocy, skan oryginału). </w:t>
            </w:r>
          </w:p>
          <w:p w14:paraId="7FB1C68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1.2.2. Wszystkie akty prawne  obowiązujące oraz oczekujące. </w:t>
            </w:r>
          </w:p>
          <w:p w14:paraId="621AF858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1.2.3. Komplet tekstów aktów prawnych ujednoliconych i ocenionych, co do obowiązywania, opublikowanych od 1 stycznia 1945 roku. </w:t>
            </w:r>
          </w:p>
          <w:p w14:paraId="3FB6422D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1.2.4. Dostęp do wszystkich kolejnych wersji historycznych aktów prawnych obowiązujących i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uchylonych.</w:t>
            </w:r>
          </w:p>
          <w:p w14:paraId="4E159C0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2E0E9C2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1.3. Użytkownik </w:t>
            </w:r>
            <w:r w:rsidRPr="00857ECA">
              <w:rPr>
                <w:rFonts w:eastAsia="Times New Roman"/>
                <w:b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 posiadać dostęp do wszystkich aktów prawnych publikowanych w Dziennikach Urzędowych naczelnych i centralnych organów administracji rządowej, w Wojewó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dzkich Dziennikach Urzędowych,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w Dziennikach Urzędowych Unii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Europejskiej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oraz możliwość korzystania ze wszystkich wskazanych funkcjonalności </w:t>
            </w:r>
          </w:p>
          <w:p w14:paraId="0189F43E" w14:textId="77777777" w:rsidR="00242498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  <w:p w14:paraId="246BA11A" w14:textId="77777777" w:rsidR="00242498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1.3.1. Akty prawne publikowane w Dziennikach Urzędowych Ujednolicone teksty aktów prawnych opublikowanych 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w Dziennikach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Urzędowych naczelnych i centralnych organów administracji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lastRenderedPageBreak/>
              <w:t>rządowej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-  aktualnych i stanowiących kontynuację dzienników wydawanych przez urząd pod inną nazwą.</w:t>
            </w:r>
          </w:p>
          <w:p w14:paraId="50102D39" w14:textId="77777777" w:rsidR="00242498" w:rsidRPr="00C16070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</w:p>
          <w:p w14:paraId="17A3D3B1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1.3.2. Akty prawne publikowane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w Wojewódzkich Dziennikach Urzędowych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:</w:t>
            </w:r>
          </w:p>
          <w:p w14:paraId="02FCDF5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1.3.2.1. Komplet ujednoliconych i ocenianych co do obowiązywania tekstów aktów prawnych opublikowanych w Wojewódzkich Dziennikach Urzędowych od czasu wprowadzenia 16.</w:t>
            </w:r>
            <w:r w:rsidRPr="00857ECA"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województw ustawą z dnia 24 lipca 1998 r. o wprowadzeniu zasadniczego trójstopniowego podziału terytorialnego państwa.</w:t>
            </w:r>
          </w:p>
          <w:p w14:paraId="3A11666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1.3.2.2. Możliwość wyszukiwania aktów prawa miejscowego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w zawężeniu do aktów prawnych dla wybranego województwa, powiatu, gminy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.</w:t>
            </w:r>
          </w:p>
          <w:p w14:paraId="4893183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1.3.2.3. Indeksy hasłowe umożliwiające wyszukiwanie dokumentów dotyczących wybranej tematyki  z jednoczesną możliwością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zawężania do aktów prawnych dla wybranego województwa, powiatu, gminy.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</w:p>
          <w:p w14:paraId="4E143AA3" w14:textId="77777777" w:rsidR="00242498" w:rsidRPr="008A6D0D" w:rsidRDefault="00242498" w:rsidP="00E02676">
            <w:pPr>
              <w:shd w:val="clear" w:color="auto" w:fill="FFFFFF"/>
              <w:ind w:left="708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791A5E7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1.3.3. Akty publikowane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w Dziennikach Urzędowych Unii Europejskiej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:</w:t>
            </w:r>
          </w:p>
          <w:p w14:paraId="03A6367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1.3.3.1. Komplet informacji formalnych o aktach opublikowanych w tym Dzienniku (co najmniej: identyfikator, tytuł, organ wydający, data uchwalenia lub wydania aktu, data ogłoszenia, data  wejścia w życie).</w:t>
            </w:r>
          </w:p>
          <w:p w14:paraId="1A83972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1.3.3.2. Ujednolicone teksty aktów prawnych ukazujących się w języku polskim opublikowane od 1 maja 2004 r. wraz z oceną co do obowiązywania. </w:t>
            </w:r>
          </w:p>
          <w:p w14:paraId="454A3737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1.3.3.3. Możliwość udostępniania kolejnych wersji historycznych aktów obowiązujących i uchylonych. </w:t>
            </w:r>
          </w:p>
          <w:p w14:paraId="4B350B7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1.3.3.4. Odzwierciedlenie wzajemnych powiązań formalnych pomiędzy aktami (co najmniej relacje typu: zmienia – zmieniany przez, uchyla – uchylony przez, wykonuje – wykonywany przez, implementuje – implementowany przez).</w:t>
            </w:r>
          </w:p>
          <w:p w14:paraId="4D0620A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1.3.3.5. Odwołania do przywołanych w aktach przepisów innych aktów prawnych, aktów wykonawczych z poziomu  tekstu aktu. </w:t>
            </w:r>
          </w:p>
          <w:p w14:paraId="7F1ED478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1.3.3.6. Odwołania do orzeczeń, komentarzy, monografii i tez z piśmiennictwa z poziomu tekstu aktu i konkretnych jednostek redakcyjnych.</w:t>
            </w:r>
          </w:p>
          <w:p w14:paraId="5CC9F5D4" w14:textId="77777777" w:rsidR="00242498" w:rsidRPr="008A6D0D" w:rsidRDefault="00242498" w:rsidP="00E02676">
            <w:pPr>
              <w:shd w:val="clear" w:color="auto" w:fill="FFFFFF"/>
              <w:ind w:left="708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4AE8B822" w14:textId="77777777" w:rsidR="00242498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2. Tłumaczenia polskich aktów prawnych -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zbiór </w:t>
            </w:r>
            <w:r w:rsidRPr="00857ECA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tłumaczenia najważniejszych polskich aktów prawnych  na język angielski i niemiecki</w:t>
            </w:r>
          </w:p>
          <w:p w14:paraId="5CECBC54" w14:textId="77777777" w:rsidR="00242498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</w:p>
          <w:p w14:paraId="0101C367" w14:textId="77777777" w:rsidR="00242498" w:rsidRPr="00F043B0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3. </w:t>
            </w:r>
            <w:r w:rsidRPr="00F043B0">
              <w:rPr>
                <w:rFonts w:eastAsia="Times New Roman"/>
                <w:b/>
                <w:color w:val="201F1E"/>
                <w:bdr w:val="none" w:sz="0" w:space="0" w:color="auto" w:frame="1"/>
              </w:rPr>
              <w:t>Piśmiennictwo prawnicze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:</w:t>
            </w:r>
          </w:p>
          <w:p w14:paraId="3BB1F493" w14:textId="77777777" w:rsidR="00242498" w:rsidRPr="00F043B0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</w:p>
          <w:p w14:paraId="3500810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3.1.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Z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biór komentarzy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: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 </w:t>
            </w:r>
          </w:p>
          <w:p w14:paraId="6F637FE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>
              <w:rPr>
                <w:rFonts w:eastAsia="Times New Roman"/>
                <w:color w:val="201F1E"/>
                <w:bdr w:val="none" w:sz="0" w:space="0" w:color="auto" w:frame="1"/>
              </w:rPr>
              <w:t>3.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1.1.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zamawiający wymaga dostępu do komentarzy aktów prawnych wchodzących w skład zbiorów określonych w części I, tj. prawa: konstytucyjnego, cywilnego, karnego, prawa administracyjnego, finansowego i ekonomii, gospodarczego, pracy i ubezpieczeń społecznych, informatycznego, europejskiego i międzynarodowego, </w:t>
            </w:r>
          </w:p>
          <w:p w14:paraId="572E92E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>
              <w:rPr>
                <w:rFonts w:eastAsia="Times New Roman"/>
                <w:color w:val="201F1E"/>
                <w:bdr w:val="none" w:sz="0" w:space="0" w:color="auto" w:frame="1"/>
              </w:rPr>
              <w:t>3.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1.2. zbiór komentarzy omawiających kolejne jednostki redakcyjne w tym: komentarzy książkowych  i komentarzy aktualizowanych.</w:t>
            </w:r>
          </w:p>
          <w:p w14:paraId="30C603E1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</w:p>
          <w:p w14:paraId="378F9A6B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3. 2. 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Z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biór monografii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:</w:t>
            </w:r>
            <w:r w:rsidRPr="008A6D0D">
              <w:rPr>
                <w:rFonts w:eastAsia="Times New Roman"/>
              </w:rPr>
              <w:t xml:space="preserve"> </w:t>
            </w:r>
          </w:p>
          <w:p w14:paraId="1B23BFE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>
              <w:rPr>
                <w:rFonts w:eastAsia="Times New Roman"/>
              </w:rPr>
              <w:t>3.</w:t>
            </w:r>
            <w:r w:rsidRPr="008A6D0D">
              <w:rPr>
                <w:rFonts w:eastAsia="Times New Roman"/>
              </w:rPr>
              <w:t xml:space="preserve">2.1.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zbiór </w:t>
            </w:r>
            <w:r w:rsidRPr="00B33C88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uwzględniać monografie do najważniejszych aktów prawnych z zakresu prawa cywilnego, karnego, prawa pracy, prawa publicznego, podatkowego.</w:t>
            </w:r>
          </w:p>
          <w:p w14:paraId="4584FFBE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</w:p>
          <w:p w14:paraId="1A53F02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3.3. 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Z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biór czasopism: </w:t>
            </w:r>
          </w:p>
          <w:p w14:paraId="21317AC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3.3.1. Zbiór czasopism online </w:t>
            </w:r>
            <w:r w:rsidRPr="00B33C88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minimum następujące 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tytuły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:</w:t>
            </w:r>
          </w:p>
          <w:p w14:paraId="024050B5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- Państwo i Prawo</w:t>
            </w:r>
          </w:p>
          <w:p w14:paraId="7864E181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lastRenderedPageBreak/>
              <w:t>- Orzecznictwo Sądów Polskich</w:t>
            </w:r>
          </w:p>
          <w:p w14:paraId="512C0315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- Przegląd Sądowy</w:t>
            </w:r>
          </w:p>
          <w:p w14:paraId="207F18B8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- Przegląd Prawa Handlowego</w:t>
            </w:r>
          </w:p>
          <w:p w14:paraId="46E40763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- Przegląd Podatkowy</w:t>
            </w:r>
          </w:p>
          <w:p w14:paraId="34FC31D0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- Przegląd Prawa publicznego</w:t>
            </w:r>
          </w:p>
          <w:p w14:paraId="4A0FD207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- </w:t>
            </w:r>
            <w:r w:rsidRPr="008A6D0D">
              <w:rPr>
                <w:rFonts w:eastAsia="Times New Roman"/>
              </w:rPr>
              <w:t xml:space="preserve">Coaching </w:t>
            </w:r>
            <w:proofErr w:type="spellStart"/>
            <w:r w:rsidRPr="008A6D0D">
              <w:rPr>
                <w:rFonts w:eastAsia="Times New Roman"/>
              </w:rPr>
              <w:t>Review</w:t>
            </w:r>
            <w:proofErr w:type="spellEnd"/>
            <w:r w:rsidRPr="008A6D0D">
              <w:rPr>
                <w:rFonts w:eastAsia="Times New Roman"/>
              </w:rPr>
              <w:t xml:space="preserve"> </w:t>
            </w:r>
          </w:p>
          <w:p w14:paraId="5BF92BBC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 xml:space="preserve">- Czasopismo Prawa Karnego i Nauk Penalnych </w:t>
            </w:r>
          </w:p>
          <w:p w14:paraId="010FB94C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 xml:space="preserve">- Europejski Przegląd Sądowy </w:t>
            </w:r>
          </w:p>
          <w:p w14:paraId="53443E99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 xml:space="preserve">- Finanse Komunalne </w:t>
            </w:r>
          </w:p>
          <w:p w14:paraId="7C2250F1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Glosa od 1995 roku</w:t>
            </w:r>
          </w:p>
          <w:p w14:paraId="4B881F4B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lang w:val="en-NZ"/>
              </w:rPr>
            </w:pPr>
            <w:r w:rsidRPr="008A6D0D">
              <w:rPr>
                <w:rFonts w:eastAsia="Times New Roman"/>
                <w:lang w:val="en-NZ"/>
              </w:rPr>
              <w:t>- Management and Business Administration. Central Europe</w:t>
            </w:r>
          </w:p>
          <w:p w14:paraId="40254FE5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 xml:space="preserve">- Orzecznictwo w Sprawach Samorządowych </w:t>
            </w:r>
          </w:p>
          <w:p w14:paraId="7276E140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Praca i Zabezpieczenie Społeczne</w:t>
            </w:r>
          </w:p>
          <w:p w14:paraId="55AC4504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Prokuratura i Prawo</w:t>
            </w:r>
          </w:p>
          <w:p w14:paraId="4CE09287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Przegląd Legislacyjny</w:t>
            </w:r>
          </w:p>
          <w:p w14:paraId="5E622A58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Samorząd Terytorialny</w:t>
            </w:r>
          </w:p>
          <w:p w14:paraId="76FF61FC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- Zeszyty Naukowe Sądownictwa Administracyjnego</w:t>
            </w:r>
          </w:p>
          <w:p w14:paraId="3E5EEF97" w14:textId="77777777" w:rsidR="00242498" w:rsidRPr="008A6D0D" w:rsidRDefault="00242498" w:rsidP="00E02676">
            <w:pPr>
              <w:shd w:val="clear" w:color="auto" w:fill="FFFFFF"/>
              <w:ind w:left="567"/>
              <w:jc w:val="both"/>
              <w:rPr>
                <w:rFonts w:eastAsia="Times New Roman"/>
                <w:highlight w:val="cyan"/>
              </w:rPr>
            </w:pPr>
            <w:r w:rsidRPr="008A6D0D">
              <w:rPr>
                <w:rFonts w:eastAsia="Times New Roman"/>
              </w:rPr>
              <w:t>- Zeszyty Naukowe Uniwersytetu Jagiellońskiego</w:t>
            </w:r>
            <w:r>
              <w:rPr>
                <w:rFonts w:eastAsia="Times New Roman"/>
              </w:rPr>
              <w:t>.</w:t>
            </w:r>
          </w:p>
          <w:p w14:paraId="5B1A553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highlight w:val="cyan"/>
                <w:bdr w:val="none" w:sz="0" w:space="0" w:color="auto" w:frame="1"/>
              </w:rPr>
            </w:pPr>
          </w:p>
          <w:p w14:paraId="1C42EA68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4. Orzecznictwo Trybunału Konstytucyjnego i sądów polskich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: </w:t>
            </w:r>
          </w:p>
          <w:p w14:paraId="4E2754B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4.1. zbiór ten </w:t>
            </w:r>
            <w:r w:rsidRPr="00074BC5">
              <w:rPr>
                <w:rFonts w:eastAsia="Times New Roman"/>
                <w:color w:val="201F1E"/>
                <w:bdr w:val="none" w:sz="0" w:space="0" w:color="auto" w:frame="1"/>
              </w:rPr>
              <w:t xml:space="preserve">musi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obejmować orzeczenia TK, sądów polskich i UE, orzecznictwo administracyjne:</w:t>
            </w:r>
          </w:p>
          <w:p w14:paraId="55E9245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4. 1.1. z uwzględnieniem linii orzeczniczych oraz oceną co do aktualności tez orzeczeń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,</w:t>
            </w:r>
          </w:p>
          <w:p w14:paraId="6C247BE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222222"/>
                <w:u w:val="single"/>
                <w:shd w:val="clear" w:color="auto" w:fill="FFFFFF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4. 1.2. z uwzględnieniem </w:t>
            </w:r>
            <w:r w:rsidRPr="008A6D0D">
              <w:rPr>
                <w:rFonts w:eastAsia="Times New Roman"/>
                <w:color w:val="222222"/>
                <w:shd w:val="clear" w:color="auto" w:fill="FFFFFF"/>
              </w:rPr>
              <w:t xml:space="preserve">linii orzeczniczych wskazujące </w:t>
            </w:r>
            <w:r w:rsidRPr="008A6D0D">
              <w:rPr>
                <w:rFonts w:eastAsia="Times New Roman"/>
                <w:color w:val="222222"/>
                <w:u w:val="single"/>
                <w:shd w:val="clear" w:color="auto" w:fill="FFFFFF"/>
              </w:rPr>
              <w:t>różne poglądy w judykaturze</w:t>
            </w:r>
            <w:r>
              <w:rPr>
                <w:rFonts w:eastAsia="Times New Roman"/>
                <w:b/>
                <w:bCs/>
                <w:color w:val="222222"/>
                <w:u w:val="single"/>
                <w:shd w:val="clear" w:color="auto" w:fill="FFFFFF"/>
              </w:rPr>
              <w:t>,</w:t>
            </w:r>
          </w:p>
          <w:p w14:paraId="4EB2BD7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222222"/>
                <w:u w:val="single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4. 1.</w:t>
            </w:r>
            <w:r w:rsidRPr="008A6D0D">
              <w:rPr>
                <w:rFonts w:eastAsia="Times New Roman"/>
                <w:color w:val="222222"/>
              </w:rPr>
              <w:t>3.</w:t>
            </w:r>
            <w:r w:rsidRPr="008A6D0D">
              <w:rPr>
                <w:rFonts w:eastAsia="Times New Roman"/>
                <w:color w:val="222222"/>
                <w:u w:val="single"/>
              </w:rPr>
              <w:t xml:space="preserve"> dostęp do linii z poziomu jednostek redakcyjnych aktów prawnyc</w:t>
            </w:r>
            <w:r>
              <w:rPr>
                <w:rFonts w:eastAsia="Times New Roman"/>
                <w:color w:val="222222"/>
                <w:u w:val="single"/>
              </w:rPr>
              <w:t>h,</w:t>
            </w:r>
          </w:p>
          <w:p w14:paraId="3A1A4E3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  <w:u w:val="single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4. 1.</w:t>
            </w:r>
            <w:r w:rsidRPr="008A6D0D">
              <w:rPr>
                <w:rFonts w:eastAsia="Times New Roman"/>
                <w:color w:val="222222"/>
              </w:rPr>
              <w:t>4.</w:t>
            </w:r>
            <w:r w:rsidRPr="008A6D0D">
              <w:rPr>
                <w:rFonts w:eastAsia="Times New Roman"/>
                <w:color w:val="222222"/>
                <w:u w:val="single"/>
              </w:rPr>
              <w:t xml:space="preserve"> dostęp do linii orzeczniczych z poziomu orzeczeń,</w:t>
            </w:r>
          </w:p>
          <w:p w14:paraId="1E37C71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4. 1.</w:t>
            </w:r>
            <w:r w:rsidRPr="008A6D0D">
              <w:rPr>
                <w:rFonts w:eastAsia="Times New Roman"/>
                <w:color w:val="222222"/>
              </w:rPr>
              <w:t>5 ocen</w:t>
            </w:r>
            <w:r>
              <w:rPr>
                <w:rFonts w:eastAsia="Times New Roman"/>
                <w:color w:val="222222"/>
              </w:rPr>
              <w:t>ę</w:t>
            </w:r>
            <w:r w:rsidRPr="008A6D0D">
              <w:rPr>
                <w:rFonts w:eastAsia="Times New Roman"/>
                <w:color w:val="222222"/>
              </w:rPr>
              <w:t xml:space="preserve"> co do aktualności tez orzeczeń sądów polskich i pism urzędowych wraz z czytelnym oznaczeniem.</w:t>
            </w:r>
          </w:p>
          <w:p w14:paraId="5CDC68EF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highlight w:val="cyan"/>
                <w:bdr w:val="none" w:sz="0" w:space="0" w:color="auto" w:frame="1"/>
              </w:rPr>
            </w:pPr>
          </w:p>
          <w:p w14:paraId="0EB2748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5. Pisma urzędowe organów administracji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- zbiór ten </w:t>
            </w:r>
            <w:r w:rsidRPr="00074BC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pisma urzędowe naczelnych i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centralnych organów administracji rządowej oraz agencji rządowych i innych instytucji państwowych (obecne i archiwalne)</w:t>
            </w:r>
            <w:r w:rsidRPr="00074BC5">
              <w:rPr>
                <w:rFonts w:eastAsia="Times New Roman"/>
                <w:color w:val="201F1E"/>
                <w:bdr w:val="none" w:sz="0" w:space="0" w:color="auto" w:frame="1"/>
              </w:rPr>
              <w:t>.</w:t>
            </w:r>
          </w:p>
          <w:p w14:paraId="6F2D923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highlight w:val="cyan"/>
                <w:bdr w:val="none" w:sz="0" w:space="0" w:color="auto" w:frame="1"/>
              </w:rPr>
            </w:pPr>
          </w:p>
          <w:p w14:paraId="424E6D9E" w14:textId="77777777" w:rsidR="00242498" w:rsidRPr="00C16070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6. Wzory umów i dokumentów -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zbiór ten </w:t>
            </w:r>
            <w:r w:rsidRPr="00074BC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wzory dokumentów i umów w odniesieniu do najważniejszych aktów prawnych z zakresu prawa cywilnego, karnego, prawa pracy, prawa publicznego, gospodarczego i podatkowego  z możliwością edytowania i zapisywania tych wzorów.</w:t>
            </w:r>
          </w:p>
          <w:p w14:paraId="55D01E23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7. Procedury uwzględniające aspekty praktyczne i pakiety specjalistyczne</w:t>
            </w:r>
            <w:r>
              <w:rPr>
                <w:rFonts w:eastAsia="Times New Roman"/>
                <w:b/>
                <w:color w:val="201F1E"/>
                <w:bdr w:val="none" w:sz="0" w:space="0" w:color="auto" w:frame="1"/>
              </w:rPr>
              <w:t>:</w:t>
            </w:r>
          </w:p>
          <w:p w14:paraId="2C211974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7.1. Procedury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z zakresu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prawa cywilnego i postępowania cywilnego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(co najmniej komplet procedur  objętych postępowaniem cywilnym). Schemat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praktyczne wskazówki komentujące poszczególne kroki postępowania oraz wizualizację różnych scenariuszy przebiegu postępowania oraz terminów do dokonania czynności  w postępowaniu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 xml:space="preserve">,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wersje czasowe procedur; relacje między czynnościami w ramach danej procedury. 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 xml:space="preserve"> </w:t>
            </w:r>
          </w:p>
          <w:p w14:paraId="0CDA50D5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7.2. Procedury </w:t>
            </w:r>
            <w:r w:rsidRPr="008F699E">
              <w:rPr>
                <w:rFonts w:eastAsia="Times New Roman"/>
                <w:color w:val="201F1E"/>
                <w:bdr w:val="none" w:sz="0" w:space="0" w:color="auto" w:frame="1"/>
              </w:rPr>
              <w:t>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co najmniej: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kodeksu karnego i kodeksu postępowania karnego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. Schemat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 xml:space="preserve">musi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zawierać praktyczne wskazówki komentujące poszczególne kroki postępowania; wizualizację różnych scenariuszy przebiegu postępowania oraz terminów do dokonania czynności w postępowaniu; wersje czasowe procedur; relacje między czynnościami w ramach danej procedury. </w:t>
            </w:r>
          </w:p>
          <w:p w14:paraId="2E5BBF1E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lastRenderedPageBreak/>
              <w:t xml:space="preserve">7.3. Procedury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z zakresu postępowania administracyjnego i</w:t>
            </w:r>
            <w:r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sądowo administracyjnego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. Schemat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praktyczne wskazówki komentujące poszczególne kroki postępowania; wizualizację różnych scenariuszy przebiegu postępowania oraz terminów do dokonania czynności w postępowaniu; wersje czasowe procedur; relacje między czynnościami w ramach danej procedury. </w:t>
            </w:r>
          </w:p>
          <w:p w14:paraId="10BF9D2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7.4. Procedury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 xml:space="preserve"> 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z zakresu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 xml:space="preserve">prawa podatkowego i procedury podatkowej 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(co najmniej komplet procedur  objętych postępowaniem podatkowym). Schemat 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praktyczne wskazówki komentujące poszczególne kroki postępowania oraz wizualizację różnych scenariuszy przebiegu postępowania oraz terminów do dokonania czynności  w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postępowaniu; wersje czasowe procedur; relacje między czynnościami w ramach danej procedury. </w:t>
            </w:r>
          </w:p>
          <w:p w14:paraId="21FD4819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7.5. Procedury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 xml:space="preserve"> 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z zakresu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prawa pracy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. Schemat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praktyczne wskazówki komentujące poszczególne kroki postępowania oraz wizualizację różnych scenariuszy przebiegu postępowania oraz terminów do dokonania czynności  w postępowaniu; wersje czasowe procedur; relacje między czynnościami w ramach danej procedury. </w:t>
            </w:r>
          </w:p>
          <w:p w14:paraId="0CC3B9E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7.6. Procedury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 xml:space="preserve"> muszą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obejmować system interaktywnych schematów opisujących czynności uczestników postępowań uregulowanych przepisami z zakresu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prawa handlowego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. Schemat </w:t>
            </w:r>
            <w:r w:rsidRPr="000E76F5">
              <w:rPr>
                <w:rFonts w:eastAsia="Times New Roman"/>
                <w:color w:val="201F1E"/>
                <w:bdr w:val="none" w:sz="0" w:space="0" w:color="auto" w:frame="1"/>
              </w:rPr>
              <w:t>musi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 zawierać praktyczne wskazówki komentujące poszczególne kroki postępowania oraz wizualizację różnych scenariuszy przebiegu postępowania oraz terminów do dokonania czynności  w</w:t>
            </w:r>
            <w:r>
              <w:rPr>
                <w:rFonts w:eastAsia="Times New Roman"/>
                <w:color w:val="201F1E"/>
                <w:bdr w:val="none" w:sz="0" w:space="0" w:color="auto" w:frame="1"/>
              </w:rPr>
              <w:t> 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postępowaniu; wersje czasowe procedur; relacje między czynnościami w ramach danej procedury. </w:t>
            </w:r>
          </w:p>
          <w:p w14:paraId="4BBEBB90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7.7. Pakiet specjalistyczny z obszaru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księgowości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>, tj. a</w:t>
            </w:r>
            <w:r w:rsidRPr="008A6D0D">
              <w:rPr>
                <w:rFonts w:eastAsia="Times New Roman"/>
              </w:rPr>
              <w:t>nalizy, czyli kompleksowo opracowane zbiory dokumentów dotyczących wybranych zagadnień z zakresu księgowości i finansów. Zbiór gotowych rozwiązań podlegających ocenie co do aktualności w postaci komentarzy praktycznych i odpowiedzi na pytania z zakresu księgowości i finansów. System interaktywnych schematów opisujących - krok po kroku - czynności uczestników postępowań uregulowanych przepisami z zakresu prawa podatkowego materialnego i procesowego.</w:t>
            </w:r>
          </w:p>
          <w:p w14:paraId="6F2E6072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7.8. Pakiet specjalistyczny z obszaru </w:t>
            </w:r>
            <w:r w:rsidRPr="008A6D0D">
              <w:rPr>
                <w:rFonts w:eastAsia="Times New Roman"/>
                <w:color w:val="201F1E"/>
                <w:u w:val="single"/>
                <w:bdr w:val="none" w:sz="0" w:space="0" w:color="auto" w:frame="1"/>
              </w:rPr>
              <w:t>kadry</w:t>
            </w: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, tj. </w:t>
            </w:r>
            <w:bookmarkStart w:id="2" w:name="_Toc424025119"/>
            <w:bookmarkStart w:id="3" w:name="_Toc464231141"/>
            <w:r w:rsidRPr="008A6D0D">
              <w:rPr>
                <w:rFonts w:eastAsia="Times New Roman"/>
              </w:rPr>
              <w:t>baza artykułów i porad z zakresu prawa pracy i</w:t>
            </w:r>
            <w:r>
              <w:rPr>
                <w:rFonts w:eastAsia="Times New Roman"/>
              </w:rPr>
              <w:t> </w:t>
            </w:r>
            <w:r w:rsidRPr="008A6D0D">
              <w:rPr>
                <w:rFonts w:eastAsia="Times New Roman"/>
              </w:rPr>
              <w:t>ubezpieczeń społecznych. Analizy</w:t>
            </w:r>
            <w:r>
              <w:rPr>
                <w:rFonts w:eastAsia="Times New Roman"/>
              </w:rPr>
              <w:t>,</w:t>
            </w:r>
            <w:r w:rsidRPr="008A6D0D">
              <w:rPr>
                <w:rFonts w:eastAsia="Times New Roman"/>
              </w:rPr>
              <w:t xml:space="preserve"> czyli kompleksowo opracowane zbiory dokumentów dotyczących wybranego zagadnienia z zakresu prawa pracy i ubezpieczeń społecznych. System interaktywnych schematów opisujących - krok po kroku - czynności uczestników postępowań uregulowanych przepisami z zakresu prawa pracy.</w:t>
            </w:r>
          </w:p>
          <w:p w14:paraId="6136ED26" w14:textId="77777777" w:rsidR="00242498" w:rsidRPr="008A6D0D" w:rsidRDefault="00242498" w:rsidP="00E02676">
            <w:pPr>
              <w:shd w:val="clear" w:color="auto" w:fill="FFFFFF"/>
              <w:ind w:firstLine="708"/>
              <w:jc w:val="both"/>
              <w:rPr>
                <w:rFonts w:eastAsia="Times New Roman"/>
                <w:highlight w:val="cyan"/>
              </w:rPr>
            </w:pPr>
          </w:p>
          <w:p w14:paraId="1334AED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</w:rPr>
            </w:pPr>
            <w:r w:rsidRPr="008A6D0D">
              <w:rPr>
                <w:rFonts w:eastAsia="Times New Roman"/>
                <w:b/>
              </w:rPr>
              <w:t>8</w:t>
            </w:r>
            <w:r w:rsidRPr="008A6D0D">
              <w:rPr>
                <w:rFonts w:eastAsia="Times New Roman"/>
              </w:rPr>
              <w:t xml:space="preserve">. </w:t>
            </w:r>
            <w:r w:rsidRPr="008A6D0D">
              <w:rPr>
                <w:rFonts w:eastAsia="Times New Roman"/>
                <w:b/>
                <w:color w:val="222222"/>
              </w:rPr>
              <w:t>Dostęp do szkoleń on-line</w:t>
            </w:r>
            <w:r w:rsidRPr="008A6D0D">
              <w:rPr>
                <w:rFonts w:eastAsia="Times New Roman"/>
                <w:color w:val="222222"/>
              </w:rPr>
              <w:t xml:space="preserve"> z możliwością zadawania pytań z zakresu m.in. </w:t>
            </w:r>
            <w:r w:rsidRPr="008A6D0D">
              <w:rPr>
                <w:rFonts w:eastAsia="Times New Roman"/>
                <w:color w:val="222222"/>
                <w:u w:val="single"/>
              </w:rPr>
              <w:t>prawa zamówień publicznych i prawa podatkowego</w:t>
            </w:r>
            <w:r w:rsidRPr="008A6D0D">
              <w:rPr>
                <w:rFonts w:eastAsia="Times New Roman"/>
                <w:color w:val="222222"/>
              </w:rPr>
              <w:t xml:space="preserve">. Możliwość odtworzenia szkoleń, które odbyły się wcześniej.  </w:t>
            </w:r>
          </w:p>
          <w:p w14:paraId="67240E0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  <w:highlight w:val="cyan"/>
              </w:rPr>
            </w:pPr>
          </w:p>
          <w:p w14:paraId="6D3AE48D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u w:val="single"/>
              </w:rPr>
            </w:pPr>
            <w:r w:rsidRPr="008A6D0D">
              <w:rPr>
                <w:rFonts w:eastAsia="Times New Roman"/>
                <w:b/>
                <w:bCs/>
                <w:color w:val="222222"/>
              </w:rPr>
              <w:t>9.</w:t>
            </w:r>
            <w:r w:rsidRPr="008A6D0D">
              <w:rPr>
                <w:rFonts w:eastAsia="Times New Roman"/>
                <w:color w:val="222222"/>
              </w:rPr>
              <w:t xml:space="preserve"> </w:t>
            </w:r>
            <w:r w:rsidRPr="008A6D0D">
              <w:rPr>
                <w:rFonts w:eastAsia="Times New Roman"/>
                <w:b/>
                <w:color w:val="222222"/>
              </w:rPr>
              <w:t>Doradztwo telefoniczne</w:t>
            </w:r>
            <w:r w:rsidRPr="008A6D0D">
              <w:rPr>
                <w:rFonts w:eastAsia="Times New Roman"/>
                <w:color w:val="222222"/>
              </w:rPr>
              <w:t xml:space="preserve"> (infolinia podatkowo-rachunkowa i infolinia kadrowa) od poniedziałku do</w:t>
            </w:r>
            <w:r>
              <w:rPr>
                <w:rFonts w:eastAsia="Times New Roman"/>
                <w:color w:val="222222"/>
              </w:rPr>
              <w:t> </w:t>
            </w:r>
            <w:r w:rsidRPr="008A6D0D">
              <w:rPr>
                <w:rFonts w:eastAsia="Times New Roman"/>
                <w:color w:val="222222"/>
              </w:rPr>
              <w:t>piątku oraz możliwość zadawania nieograniczonej liczby pytań ekspertom z poziomu produktu z</w:t>
            </w:r>
            <w:r>
              <w:rPr>
                <w:rFonts w:eastAsia="Times New Roman"/>
                <w:color w:val="222222"/>
              </w:rPr>
              <w:t> </w:t>
            </w:r>
            <w:r w:rsidRPr="008A6D0D">
              <w:rPr>
                <w:rFonts w:eastAsia="Times New Roman"/>
                <w:color w:val="222222"/>
              </w:rPr>
              <w:t xml:space="preserve">zakresu m.in. </w:t>
            </w:r>
            <w:r w:rsidRPr="008A6D0D">
              <w:rPr>
                <w:rFonts w:eastAsia="Times New Roman"/>
                <w:color w:val="222222"/>
                <w:u w:val="single"/>
              </w:rPr>
              <w:t>prawa pracy i ubezpieczeń społecznych oraz zamówień publicznych</w:t>
            </w:r>
            <w:r>
              <w:rPr>
                <w:rFonts w:eastAsia="Times New Roman"/>
                <w:color w:val="222222"/>
                <w:u w:val="single"/>
              </w:rPr>
              <w:t>.</w:t>
            </w:r>
          </w:p>
          <w:p w14:paraId="075EF667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22222"/>
                <w:highlight w:val="cyan"/>
                <w:u w:val="single"/>
              </w:rPr>
            </w:pPr>
          </w:p>
          <w:bookmarkEnd w:id="2"/>
          <w:bookmarkEnd w:id="3"/>
          <w:p w14:paraId="611F869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b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  <w:b/>
                <w:bCs/>
                <w:color w:val="201F1E"/>
                <w:bdr w:val="none" w:sz="0" w:space="0" w:color="auto" w:frame="1"/>
              </w:rPr>
              <w:t>10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. Narzędzia w Systemie Informacji Prawnej </w:t>
            </w:r>
            <w:r w:rsidRPr="00EA492A">
              <w:rPr>
                <w:rFonts w:eastAsia="Times New Roman"/>
                <w:b/>
                <w:color w:val="201F1E"/>
                <w:bdr w:val="none" w:sz="0" w:space="0" w:color="auto" w:frame="1"/>
              </w:rPr>
              <w:t xml:space="preserve">muszą 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umożliwia</w:t>
            </w:r>
            <w:r w:rsidRPr="00EA492A">
              <w:rPr>
                <w:rFonts w:eastAsia="Times New Roman"/>
                <w:b/>
                <w:color w:val="201F1E"/>
                <w:bdr w:val="none" w:sz="0" w:space="0" w:color="auto" w:frame="1"/>
              </w:rPr>
              <w:t>ć/zawierać</w:t>
            </w:r>
            <w:r w:rsidRPr="008A6D0D">
              <w:rPr>
                <w:rFonts w:eastAsia="Times New Roman"/>
                <w:b/>
                <w:color w:val="201F1E"/>
                <w:bdr w:val="none" w:sz="0" w:space="0" w:color="auto" w:frame="1"/>
              </w:rPr>
              <w:t>:</w:t>
            </w:r>
          </w:p>
          <w:p w14:paraId="117B190A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  <w:color w:val="201F1E"/>
                <w:bdr w:val="none" w:sz="0" w:space="0" w:color="auto" w:frame="1"/>
              </w:rPr>
              <w:t xml:space="preserve">10.1. </w:t>
            </w:r>
            <w:r w:rsidRPr="008A6D0D">
              <w:rPr>
                <w:rFonts w:eastAsia="Times New Roman"/>
              </w:rPr>
              <w:t>tworzenie folderów i dodawani</w:t>
            </w:r>
            <w:r w:rsidRPr="00EA492A">
              <w:rPr>
                <w:rFonts w:eastAsia="Times New Roman"/>
              </w:rPr>
              <w:t>e</w:t>
            </w:r>
            <w:r w:rsidRPr="008A6D0D">
              <w:rPr>
                <w:rFonts w:eastAsia="Times New Roman"/>
              </w:rPr>
              <w:t xml:space="preserve"> do nich dokumentów z programu</w:t>
            </w:r>
            <w:r w:rsidRPr="00EA492A">
              <w:rPr>
                <w:rFonts w:eastAsia="Times New Roman"/>
              </w:rPr>
              <w:t>,</w:t>
            </w:r>
          </w:p>
          <w:p w14:paraId="3A7C415E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10.2. dodawani</w:t>
            </w:r>
            <w:r w:rsidRPr="00EA492A">
              <w:rPr>
                <w:rFonts w:eastAsia="Times New Roman"/>
              </w:rPr>
              <w:t>e</w:t>
            </w:r>
            <w:r w:rsidRPr="008A6D0D">
              <w:rPr>
                <w:rFonts w:eastAsia="Times New Roman"/>
              </w:rPr>
              <w:t xml:space="preserve"> do folderów aktów prawnych na konkretny stan prawny</w:t>
            </w:r>
            <w:r w:rsidRPr="00EA492A">
              <w:rPr>
                <w:rFonts w:eastAsia="Times New Roman"/>
              </w:rPr>
              <w:t>,</w:t>
            </w:r>
          </w:p>
          <w:p w14:paraId="4BE4777C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10.3. tworzeni</w:t>
            </w:r>
            <w:r w:rsidRPr="00EA492A">
              <w:rPr>
                <w:rFonts w:eastAsia="Times New Roman"/>
              </w:rPr>
              <w:t>e</w:t>
            </w:r>
            <w:r w:rsidRPr="008A6D0D">
              <w:rPr>
                <w:rFonts w:eastAsia="Times New Roman"/>
              </w:rPr>
              <w:t xml:space="preserve"> notatek do dokumentów</w:t>
            </w:r>
            <w:r w:rsidRPr="00EA492A">
              <w:rPr>
                <w:rFonts w:eastAsia="Times New Roman"/>
              </w:rPr>
              <w:t>,</w:t>
            </w:r>
          </w:p>
          <w:p w14:paraId="16C89CB4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8A6D0D">
              <w:rPr>
                <w:rFonts w:eastAsia="Times New Roman"/>
              </w:rPr>
              <w:t>10.4. śledzeni</w:t>
            </w:r>
            <w:r w:rsidRPr="00EA492A">
              <w:rPr>
                <w:rFonts w:eastAsia="Times New Roman"/>
              </w:rPr>
              <w:t>e</w:t>
            </w:r>
            <w:r w:rsidRPr="008A6D0D">
              <w:rPr>
                <w:rFonts w:eastAsia="Times New Roman"/>
              </w:rPr>
              <w:t xml:space="preserve"> zmian w obserwowanych aktach prawnych (prawo powszechne, europejskie, resortowe)</w:t>
            </w:r>
            <w:r w:rsidRPr="00EA492A">
              <w:rPr>
                <w:rFonts w:eastAsia="Times New Roman"/>
              </w:rPr>
              <w:t>,</w:t>
            </w:r>
          </w:p>
          <w:p w14:paraId="293051E6" w14:textId="77777777" w:rsidR="00242498" w:rsidRPr="008A6D0D" w:rsidRDefault="00242498" w:rsidP="00E02676">
            <w:pPr>
              <w:shd w:val="clear" w:color="auto" w:fill="FFFFFF"/>
              <w:jc w:val="both"/>
              <w:rPr>
                <w:rFonts w:eastAsia="Times New Roman"/>
                <w:color w:val="201F1E"/>
                <w:bdr w:val="none" w:sz="0" w:space="0" w:color="auto" w:frame="1"/>
              </w:rPr>
            </w:pPr>
            <w:r w:rsidRPr="008A6D0D">
              <w:rPr>
                <w:rFonts w:eastAsia="Times New Roman"/>
              </w:rPr>
              <w:t>10.5. ustawienia alertów na akt prawny oraz wybraną jednostkę redakcyjną</w:t>
            </w:r>
            <w:r w:rsidRPr="00EA492A">
              <w:rPr>
                <w:rFonts w:eastAsia="Times New Roman"/>
              </w:rPr>
              <w:t>,</w:t>
            </w:r>
          </w:p>
          <w:p w14:paraId="3DC2BA59" w14:textId="77777777" w:rsidR="00242498" w:rsidRPr="008A6D0D" w:rsidRDefault="00242498" w:rsidP="00E02676">
            <w:pPr>
              <w:jc w:val="both"/>
            </w:pPr>
            <w:r w:rsidRPr="008A6D0D">
              <w:lastRenderedPageBreak/>
              <w:t>10.6. dokonywanie różnego rodzaju obliczeń</w:t>
            </w:r>
            <w:r w:rsidRPr="00EA492A">
              <w:t>,</w:t>
            </w:r>
          </w:p>
          <w:p w14:paraId="7273C158" w14:textId="77777777" w:rsidR="00242498" w:rsidRPr="008A6D0D" w:rsidRDefault="00242498" w:rsidP="00E02676">
            <w:pPr>
              <w:jc w:val="both"/>
            </w:pPr>
            <w:r w:rsidRPr="008A6D0D">
              <w:t>10.7. wyszukiwani</w:t>
            </w:r>
            <w:r w:rsidRPr="00EA492A">
              <w:t>e</w:t>
            </w:r>
            <w:r w:rsidRPr="008A6D0D">
              <w:t xml:space="preserve"> danych wł</w:t>
            </w:r>
            <w:bookmarkStart w:id="4" w:name="_Toc21361766"/>
            <w:r w:rsidRPr="008A6D0D">
              <w:t>aściwych dla konkretnego adresu  m.in. urzędów, izb skarbowych, sądów, jednostek samorządu terytorialnego i innych</w:t>
            </w:r>
            <w:r w:rsidRPr="00EA492A">
              <w:t>,</w:t>
            </w:r>
          </w:p>
          <w:p w14:paraId="5DCD4514" w14:textId="77777777" w:rsidR="00242498" w:rsidRPr="008A6D0D" w:rsidRDefault="00242498" w:rsidP="00E02676">
            <w:pPr>
              <w:jc w:val="both"/>
            </w:pPr>
            <w:r w:rsidRPr="008A6D0D">
              <w:t xml:space="preserve">10.8. </w:t>
            </w:r>
            <w:r w:rsidRPr="00EA492A">
              <w:t>w</w:t>
            </w:r>
            <w:r w:rsidRPr="008A6D0D">
              <w:t xml:space="preserve">skaźniki i stawki, </w:t>
            </w:r>
            <w:bookmarkEnd w:id="4"/>
          </w:p>
          <w:p w14:paraId="26DFF0B3" w14:textId="77777777" w:rsidR="00242498" w:rsidRPr="008A6D0D" w:rsidRDefault="00242498" w:rsidP="00E02676">
            <w:pPr>
              <w:jc w:val="both"/>
            </w:pPr>
            <w:r w:rsidRPr="008A6D0D">
              <w:t>10. 9. informacj</w:t>
            </w:r>
            <w:r w:rsidRPr="00EA492A">
              <w:t>e</w:t>
            </w:r>
            <w:r w:rsidRPr="008A6D0D">
              <w:t xml:space="preserve"> na temat firm zarejestrowanych w Rejestrze Przedsiębiorców KRS</w:t>
            </w:r>
            <w:bookmarkStart w:id="5" w:name="_Toc21361769"/>
            <w:r w:rsidRPr="008A6D0D">
              <w:t xml:space="preserve"> (wyszukiwanie i rejestry).</w:t>
            </w:r>
          </w:p>
          <w:p w14:paraId="7821D419" w14:textId="77777777" w:rsidR="00242498" w:rsidRPr="008A6D0D" w:rsidRDefault="00242498" w:rsidP="00E02676">
            <w:pPr>
              <w:jc w:val="both"/>
            </w:pPr>
          </w:p>
          <w:p w14:paraId="44D2B174" w14:textId="77777777" w:rsidR="00242498" w:rsidRPr="008A6D0D" w:rsidRDefault="00242498" w:rsidP="00E02676">
            <w:pPr>
              <w:jc w:val="both"/>
              <w:rPr>
                <w:bCs/>
              </w:rPr>
            </w:pPr>
            <w:r w:rsidRPr="008A6D0D">
              <w:rPr>
                <w:b/>
              </w:rPr>
              <w:t>11. Bibliografia PAN</w:t>
            </w:r>
            <w:bookmarkEnd w:id="5"/>
            <w:r w:rsidRPr="008A6D0D">
              <w:t xml:space="preserve"> - </w:t>
            </w:r>
            <w:r w:rsidRPr="008A6D0D">
              <w:rPr>
                <w:bCs/>
              </w:rPr>
              <w:t xml:space="preserve">baza informacji o publikacjach prawniczych. </w:t>
            </w:r>
          </w:p>
          <w:p w14:paraId="61EE780B" w14:textId="77777777" w:rsidR="00242498" w:rsidRPr="008A6D0D" w:rsidRDefault="00242498" w:rsidP="00E02676">
            <w:pPr>
              <w:jc w:val="both"/>
              <w:rPr>
                <w:bCs/>
                <w:highlight w:val="cyan"/>
              </w:rPr>
            </w:pPr>
          </w:p>
          <w:p w14:paraId="14803416" w14:textId="77777777" w:rsidR="00242498" w:rsidRPr="00641471" w:rsidRDefault="00242498" w:rsidP="00E0267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12.</w:t>
            </w:r>
            <w:r w:rsidRPr="008A6D0D">
              <w:rPr>
                <w:b/>
              </w:rPr>
              <w:t>Słowniki</w:t>
            </w:r>
            <w:r w:rsidRPr="008A6D0D">
              <w:t xml:space="preserve"> m.in. orzecznictwa sądowego sądów europejskich, języka prawniczego i ekonomicznego angielsko-polski, polsko-francuski.</w:t>
            </w:r>
          </w:p>
        </w:tc>
      </w:tr>
      <w:bookmarkEnd w:id="0"/>
    </w:tbl>
    <w:p w14:paraId="610EA042" w14:textId="77777777" w:rsidR="00CB2ACD" w:rsidRDefault="00CB2ACD"/>
    <w:sectPr w:rsidR="00CB2ACD" w:rsidSect="002424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DBFB" w14:textId="77777777" w:rsidR="003057F7" w:rsidRDefault="003057F7" w:rsidP="004A7431">
      <w:pPr>
        <w:spacing w:after="0" w:line="240" w:lineRule="auto"/>
      </w:pPr>
      <w:r>
        <w:separator/>
      </w:r>
    </w:p>
  </w:endnote>
  <w:endnote w:type="continuationSeparator" w:id="0">
    <w:p w14:paraId="0B074747" w14:textId="77777777" w:rsidR="003057F7" w:rsidRDefault="003057F7" w:rsidP="004A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429404"/>
      <w:docPartObj>
        <w:docPartGallery w:val="Page Numbers (Bottom of Page)"/>
        <w:docPartUnique/>
      </w:docPartObj>
    </w:sdtPr>
    <w:sdtContent>
      <w:p w14:paraId="4D722A8D" w14:textId="0CACEA94" w:rsidR="004A7431" w:rsidRDefault="004A74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1ED">
          <w:rPr>
            <w:noProof/>
          </w:rPr>
          <w:t>1</w:t>
        </w:r>
        <w:r>
          <w:fldChar w:fldCharType="end"/>
        </w:r>
      </w:p>
    </w:sdtContent>
  </w:sdt>
  <w:p w14:paraId="6D746832" w14:textId="77777777" w:rsidR="004A7431" w:rsidRDefault="004A7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0270" w14:textId="77777777" w:rsidR="003057F7" w:rsidRDefault="003057F7" w:rsidP="004A7431">
      <w:pPr>
        <w:spacing w:after="0" w:line="240" w:lineRule="auto"/>
      </w:pPr>
      <w:r>
        <w:separator/>
      </w:r>
    </w:p>
  </w:footnote>
  <w:footnote w:type="continuationSeparator" w:id="0">
    <w:p w14:paraId="522ADA45" w14:textId="77777777" w:rsidR="003057F7" w:rsidRDefault="003057F7" w:rsidP="004A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1A9" w14:textId="3E1093FC" w:rsidR="006349D0" w:rsidRPr="00FA0C71" w:rsidRDefault="006349D0" w:rsidP="00FA0C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/>
      <w:spacing w:after="200" w:line="276" w:lineRule="auto"/>
      <w:jc w:val="center"/>
      <w:rPr>
        <w:rFonts w:ascii="Calibri" w:eastAsia="Calibri" w:hAnsi="Calibri" w:cs="Calibri"/>
        <w:noProof/>
        <w:color w:val="000000"/>
        <w:lang w:eastAsia="pl-PL"/>
      </w:rPr>
    </w:pPr>
    <w:r w:rsidRPr="00FA0C71"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1D09F999" wp14:editId="7F9F1620">
          <wp:extent cx="5760720" cy="513064"/>
          <wp:effectExtent l="0" t="0" r="0" b="190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3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7B3"/>
    <w:multiLevelType w:val="hybridMultilevel"/>
    <w:tmpl w:val="B54C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1848"/>
    <w:multiLevelType w:val="hybridMultilevel"/>
    <w:tmpl w:val="71FE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275DD"/>
    <w:multiLevelType w:val="hybridMultilevel"/>
    <w:tmpl w:val="6D6888EA"/>
    <w:lvl w:ilvl="0" w:tplc="E8F0BE34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1EC2"/>
    <w:multiLevelType w:val="hybridMultilevel"/>
    <w:tmpl w:val="40E8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9861">
    <w:abstractNumId w:val="2"/>
  </w:num>
  <w:num w:numId="2" w16cid:durableId="1702704119">
    <w:abstractNumId w:val="1"/>
  </w:num>
  <w:num w:numId="3" w16cid:durableId="295183780">
    <w:abstractNumId w:val="3"/>
  </w:num>
  <w:num w:numId="4" w16cid:durableId="113694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CD"/>
    <w:rsid w:val="0000551E"/>
    <w:rsid w:val="00045A17"/>
    <w:rsid w:val="000D17E0"/>
    <w:rsid w:val="00206257"/>
    <w:rsid w:val="0022262A"/>
    <w:rsid w:val="00242498"/>
    <w:rsid w:val="00265166"/>
    <w:rsid w:val="002D42CF"/>
    <w:rsid w:val="002D589E"/>
    <w:rsid w:val="003057F7"/>
    <w:rsid w:val="003573FC"/>
    <w:rsid w:val="00363AC5"/>
    <w:rsid w:val="003B0B5C"/>
    <w:rsid w:val="004A2CA8"/>
    <w:rsid w:val="004A7431"/>
    <w:rsid w:val="0054150C"/>
    <w:rsid w:val="005A5AEF"/>
    <w:rsid w:val="005E73CB"/>
    <w:rsid w:val="0062587D"/>
    <w:rsid w:val="006349D0"/>
    <w:rsid w:val="0065568E"/>
    <w:rsid w:val="00674F63"/>
    <w:rsid w:val="00677B47"/>
    <w:rsid w:val="006978FB"/>
    <w:rsid w:val="006B12C1"/>
    <w:rsid w:val="00745A7C"/>
    <w:rsid w:val="0075208B"/>
    <w:rsid w:val="0077307A"/>
    <w:rsid w:val="00776398"/>
    <w:rsid w:val="007D62D6"/>
    <w:rsid w:val="00854466"/>
    <w:rsid w:val="00860F06"/>
    <w:rsid w:val="008826FC"/>
    <w:rsid w:val="008840F5"/>
    <w:rsid w:val="009774DD"/>
    <w:rsid w:val="00991FEA"/>
    <w:rsid w:val="009B2A0C"/>
    <w:rsid w:val="00B07238"/>
    <w:rsid w:val="00CB2ACD"/>
    <w:rsid w:val="00CC71ED"/>
    <w:rsid w:val="00D26BB4"/>
    <w:rsid w:val="00E12593"/>
    <w:rsid w:val="00E7512F"/>
    <w:rsid w:val="00EC44C5"/>
    <w:rsid w:val="00F4017D"/>
    <w:rsid w:val="00FA0C71"/>
    <w:rsid w:val="00FA3A77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2BA5"/>
  <w15:chartTrackingRefBased/>
  <w15:docId w15:val="{1F77EDC3-D284-4B05-BF17-45B6E4C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31"/>
  </w:style>
  <w:style w:type="paragraph" w:styleId="Stopka">
    <w:name w:val="footer"/>
    <w:basedOn w:val="Normalny"/>
    <w:link w:val="StopkaZnak"/>
    <w:uiPriority w:val="99"/>
    <w:unhideWhenUsed/>
    <w:rsid w:val="004A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FE5434A60C7469E9C2845784D078B" ma:contentTypeVersion="13" ma:contentTypeDescription="Utwórz nowy dokument." ma:contentTypeScope="" ma:versionID="256a4e7c8b1935867d561ca38b3739b1">
  <xsd:schema xmlns:xsd="http://www.w3.org/2001/XMLSchema" xmlns:xs="http://www.w3.org/2001/XMLSchema" xmlns:p="http://schemas.microsoft.com/office/2006/metadata/properties" xmlns:ns3="888473b2-cacf-49a4-b83e-ae898fc54ec8" xmlns:ns4="50808e15-e00c-4d51-9e6d-eef99577e1d7" targetNamespace="http://schemas.microsoft.com/office/2006/metadata/properties" ma:root="true" ma:fieldsID="0ce26a8189d3f77e58ee38b8427fceb9" ns3:_="" ns4:_="">
    <xsd:import namespace="888473b2-cacf-49a4-b83e-ae898fc54ec8"/>
    <xsd:import namespace="50808e15-e00c-4d51-9e6d-eef99577e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73b2-cacf-49a4-b83e-ae898fc54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8e15-e00c-4d51-9e6d-eef99577e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54F7E-92DB-41A4-A229-DB2A8973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473b2-cacf-49a4-b83e-ae898fc54ec8"/>
    <ds:schemaRef ds:uri="50808e15-e00c-4d51-9e6d-eef99577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C59B-267F-4F40-A5C7-D4DD307D5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C0928-41BB-4469-BB4E-62E8C9B9C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2220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Iwona Josińska</cp:lastModifiedBy>
  <cp:revision>41</cp:revision>
  <dcterms:created xsi:type="dcterms:W3CDTF">2021-10-26T08:48:00Z</dcterms:created>
  <dcterms:modified xsi:type="dcterms:W3CDTF">2023-03-09T17:17:00Z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0x010100A27FE5434A60C7469E9C2845784D078B</vt:lpwstr>
  </property>
</Properties>
</file>