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4121A" w14:textId="34A69094" w:rsidR="0055160E" w:rsidRDefault="00624823" w:rsidP="0055160E">
      <w:pPr>
        <w:jc w:val="right"/>
      </w:pPr>
      <w:r w:rsidRPr="00915ADE">
        <w:t xml:space="preserve">Malbork, </w:t>
      </w:r>
      <w:r w:rsidRPr="0089483A">
        <w:t>dnia</w:t>
      </w:r>
      <w:r w:rsidR="00E913EE" w:rsidRPr="0089483A">
        <w:t xml:space="preserve"> </w:t>
      </w:r>
      <w:r w:rsidR="00685891">
        <w:t>03</w:t>
      </w:r>
      <w:r w:rsidR="001B5579">
        <w:t>.02</w:t>
      </w:r>
      <w:r w:rsidR="00AA6BF0" w:rsidRPr="0089483A">
        <w:t>.202</w:t>
      </w:r>
      <w:r w:rsidR="001B5579">
        <w:t>3</w:t>
      </w:r>
      <w:r w:rsidR="0055160E" w:rsidRPr="0089483A">
        <w:t xml:space="preserve"> r.</w:t>
      </w:r>
    </w:p>
    <w:p w14:paraId="3B7745EA" w14:textId="77777777" w:rsidR="0055160E" w:rsidRDefault="0055160E" w:rsidP="0055160E">
      <w:pPr>
        <w:jc w:val="center"/>
        <w:rPr>
          <w:b/>
        </w:rPr>
      </w:pPr>
      <w:r>
        <w:rPr>
          <w:b/>
        </w:rPr>
        <w:t>ZAPYTANIE OFERTOWE</w:t>
      </w:r>
    </w:p>
    <w:p w14:paraId="69C1ED02" w14:textId="0ABE6B61" w:rsidR="0055160E" w:rsidRDefault="00AA6BF0" w:rsidP="0055160E">
      <w:pPr>
        <w:jc w:val="center"/>
        <w:rPr>
          <w:b/>
        </w:rPr>
      </w:pPr>
      <w:r>
        <w:rPr>
          <w:b/>
        </w:rPr>
        <w:t xml:space="preserve">nr </w:t>
      </w:r>
      <w:r w:rsidR="006E7B4F">
        <w:rPr>
          <w:b/>
        </w:rPr>
        <w:t>46</w:t>
      </w:r>
      <w:r w:rsidR="0055160E">
        <w:rPr>
          <w:b/>
        </w:rPr>
        <w:t>/202</w:t>
      </w:r>
      <w:r w:rsidR="001B5579">
        <w:rPr>
          <w:b/>
        </w:rPr>
        <w:t>3</w:t>
      </w:r>
      <w:r w:rsidR="0055160E">
        <w:rPr>
          <w:b/>
        </w:rPr>
        <w:t>/POIR.01.01.01</w:t>
      </w:r>
    </w:p>
    <w:p w14:paraId="36C508F7" w14:textId="14CE7593" w:rsidR="00835F3D" w:rsidRDefault="0055160E" w:rsidP="0055160E">
      <w:pPr>
        <w:jc w:val="both"/>
      </w:pPr>
      <w:r>
        <w:t xml:space="preserve">W związku z realizacją projektu </w:t>
      </w:r>
      <w:r w:rsidRPr="007857FD">
        <w:t>„Opracowanie wentylatorów o konstrukcji uwzględniającej w unikalnym stopniu uwarunkowania instalacyjne w celu redukcji emisji hałasu i w</w:t>
      </w:r>
      <w:r>
        <w:t>zrostu sprawności energetycznej</w:t>
      </w:r>
      <w:r w:rsidRPr="007857FD">
        <w:t>”</w:t>
      </w:r>
      <w:r>
        <w:t xml:space="preserve"> współfinansowanego</w:t>
      </w:r>
      <w:r w:rsidRPr="007857FD">
        <w:t xml:space="preserve"> przez Unię Europejską ze środków Europejskiego Funduszu Rozwoju Regionalnego w ramach Poddziałania 1.1.1 Programu Operacyjnego Inteligentny Rozwój 2014-2020</w:t>
      </w:r>
      <w:r>
        <w:t>, NYBORG MAWENT S.A. zaprasza do składania ofert dotyczących</w:t>
      </w:r>
      <w:r w:rsidR="00C8108B">
        <w:t xml:space="preserve"> dostawy</w:t>
      </w:r>
      <w:r>
        <w:t>:</w:t>
      </w:r>
    </w:p>
    <w:p w14:paraId="2B4EC266" w14:textId="69EFFB87" w:rsidR="00E913EE" w:rsidRDefault="00E913EE" w:rsidP="005B7A62">
      <w:pPr>
        <w:jc w:val="both"/>
        <w:rPr>
          <w:b/>
          <w:bCs/>
        </w:rPr>
      </w:pPr>
      <w:r>
        <w:rPr>
          <w:b/>
          <w:bCs/>
        </w:rPr>
        <w:t xml:space="preserve">Materiałów </w:t>
      </w:r>
      <w:r w:rsidR="00EE78C1">
        <w:rPr>
          <w:b/>
          <w:bCs/>
        </w:rPr>
        <w:t xml:space="preserve">niezbędnych </w:t>
      </w:r>
      <w:r>
        <w:rPr>
          <w:b/>
          <w:bCs/>
        </w:rPr>
        <w:t>do budowy prototypów wentylatorów</w:t>
      </w:r>
      <w:r w:rsidR="00066116">
        <w:rPr>
          <w:b/>
          <w:bCs/>
        </w:rPr>
        <w:t xml:space="preserve"> powstających w projekcie </w:t>
      </w:r>
      <w:r>
        <w:rPr>
          <w:b/>
          <w:bCs/>
        </w:rPr>
        <w:t>, w tym:</w:t>
      </w:r>
      <w:r w:rsidR="004A6BCB">
        <w:rPr>
          <w:b/>
          <w:bCs/>
        </w:rPr>
        <w:t xml:space="preserve"> pręty, ceownik, </w:t>
      </w:r>
      <w:r>
        <w:rPr>
          <w:b/>
          <w:bCs/>
        </w:rPr>
        <w:t xml:space="preserve"> </w:t>
      </w:r>
      <w:r w:rsidR="004A6BCB">
        <w:rPr>
          <w:b/>
          <w:bCs/>
        </w:rPr>
        <w:t>d</w:t>
      </w:r>
      <w:r>
        <w:rPr>
          <w:b/>
          <w:bCs/>
        </w:rPr>
        <w:t>rut</w:t>
      </w:r>
      <w:r w:rsidR="0064098F">
        <w:rPr>
          <w:b/>
          <w:bCs/>
        </w:rPr>
        <w:t xml:space="preserve"> spawalniczy</w:t>
      </w:r>
      <w:r>
        <w:rPr>
          <w:b/>
          <w:bCs/>
        </w:rPr>
        <w:t>, blachy, farby</w:t>
      </w:r>
      <w:r w:rsidR="001A05B7">
        <w:rPr>
          <w:b/>
          <w:bCs/>
        </w:rPr>
        <w:t>.</w:t>
      </w:r>
    </w:p>
    <w:p w14:paraId="01A41B7C" w14:textId="77777777" w:rsidR="00E913EE" w:rsidRDefault="00E913EE" w:rsidP="005B7A62">
      <w:pPr>
        <w:jc w:val="both"/>
        <w:rPr>
          <w:b/>
          <w:bCs/>
        </w:rPr>
      </w:pPr>
    </w:p>
    <w:p w14:paraId="2340A6F3" w14:textId="0784830C" w:rsidR="0055160E" w:rsidRPr="005B7A62" w:rsidRDefault="0055160E" w:rsidP="005B7A62">
      <w:pPr>
        <w:jc w:val="both"/>
        <w:rPr>
          <w:b/>
          <w:bCs/>
        </w:rPr>
      </w:pPr>
      <w:r>
        <w:rPr>
          <w:b/>
        </w:rPr>
        <w:t>Kod</w:t>
      </w:r>
      <w:r w:rsidR="004777B6">
        <w:rPr>
          <w:b/>
        </w:rPr>
        <w:t>y</w:t>
      </w:r>
      <w:r>
        <w:rPr>
          <w:b/>
        </w:rPr>
        <w:t xml:space="preserve"> CPV:</w:t>
      </w:r>
    </w:p>
    <w:p w14:paraId="40357C99" w14:textId="42766F35" w:rsidR="00B23AA2" w:rsidRDefault="00E22FEF" w:rsidP="00E22FEF">
      <w:pPr>
        <w:spacing w:after="0"/>
      </w:pPr>
      <w:r w:rsidRPr="00066116">
        <w:t xml:space="preserve">42522100-2 </w:t>
      </w:r>
      <w:r w:rsidR="00284E21" w:rsidRPr="00066116">
        <w:t>-</w:t>
      </w:r>
      <w:r w:rsidR="005B7A62" w:rsidRPr="00066116">
        <w:t xml:space="preserve"> </w:t>
      </w:r>
      <w:r w:rsidRPr="00066116">
        <w:t>Części wentylatorów</w:t>
      </w:r>
    </w:p>
    <w:p w14:paraId="2733E27A" w14:textId="4B6BEADA" w:rsidR="004A6BCB" w:rsidRDefault="004A6BCB" w:rsidP="004A6BCB">
      <w:pPr>
        <w:spacing w:after="0"/>
      </w:pPr>
      <w:r w:rsidRPr="004A6BCB">
        <w:t>44810000-1</w:t>
      </w:r>
      <w:r>
        <w:t xml:space="preserve"> </w:t>
      </w:r>
      <w:r w:rsidR="001A05B7">
        <w:t xml:space="preserve">- </w:t>
      </w:r>
      <w:r>
        <w:t>Farby</w:t>
      </w:r>
    </w:p>
    <w:p w14:paraId="080E9BA7" w14:textId="6A8E567F" w:rsidR="004A6BCB" w:rsidRDefault="004A6BCB" w:rsidP="004A6BCB">
      <w:pPr>
        <w:spacing w:after="0"/>
      </w:pPr>
      <w:r>
        <w:t>44315100-2</w:t>
      </w:r>
      <w:r w:rsidR="00BE60FD">
        <w:t xml:space="preserve"> </w:t>
      </w:r>
      <w:r w:rsidR="001A05B7">
        <w:t xml:space="preserve">- </w:t>
      </w:r>
      <w:r w:rsidR="00BE60FD" w:rsidRPr="00BE60FD">
        <w:t>Akcesoria spawalnicze</w:t>
      </w:r>
    </w:p>
    <w:p w14:paraId="66C34478" w14:textId="41FFF66F" w:rsidR="00BE60FD" w:rsidRDefault="00BE60FD" w:rsidP="004A6BCB">
      <w:pPr>
        <w:spacing w:after="0"/>
      </w:pPr>
      <w:r w:rsidRPr="00BE60FD">
        <w:t xml:space="preserve">44100000-1 </w:t>
      </w:r>
      <w:r w:rsidR="001A05B7">
        <w:t xml:space="preserve">- </w:t>
      </w:r>
      <w:r w:rsidRPr="00BE60FD">
        <w:t>Materiały konstrukcyjne i elementy podobne</w:t>
      </w:r>
    </w:p>
    <w:p w14:paraId="4F87D5D7" w14:textId="77777777" w:rsidR="006B4270" w:rsidRPr="00D81540" w:rsidRDefault="006B4270" w:rsidP="00D81540">
      <w:pPr>
        <w:spacing w:after="0"/>
      </w:pPr>
    </w:p>
    <w:p w14:paraId="286249A9" w14:textId="77777777" w:rsidR="0055160E" w:rsidRDefault="0055160E" w:rsidP="0055160E">
      <w:pPr>
        <w:rPr>
          <w:b/>
        </w:rPr>
      </w:pPr>
      <w:r>
        <w:rPr>
          <w:b/>
        </w:rPr>
        <w:t>I. NAZWA I ADRES ZAMAWIAJĄCEGO</w:t>
      </w:r>
    </w:p>
    <w:p w14:paraId="5DB0A1A0" w14:textId="77777777" w:rsidR="0055160E" w:rsidRDefault="0055160E" w:rsidP="0055160E">
      <w:pPr>
        <w:spacing w:after="0"/>
      </w:pPr>
      <w:r>
        <w:t>Nazwa: NYBORG- MAWENT SPÓŁKA AKCYJNA</w:t>
      </w:r>
    </w:p>
    <w:p w14:paraId="5C356A23" w14:textId="77777777" w:rsidR="0055160E" w:rsidRDefault="0055160E" w:rsidP="0055160E">
      <w:pPr>
        <w:spacing w:after="0"/>
      </w:pPr>
      <w:r>
        <w:t>Adres Siedziby: woj. POMORSKIE, pow. malborski, gm. Malbork, miejsc. Malbork, ul. Ciepła 6, 82-200, poczta Malbork</w:t>
      </w:r>
    </w:p>
    <w:p w14:paraId="0835B9F4" w14:textId="77777777" w:rsidR="0055160E" w:rsidRPr="00D80782" w:rsidRDefault="0055160E" w:rsidP="0055160E">
      <w:pPr>
        <w:spacing w:after="0"/>
        <w:rPr>
          <w:lang w:val="en-US"/>
        </w:rPr>
      </w:pPr>
      <w:r w:rsidRPr="00D80782">
        <w:rPr>
          <w:lang w:val="en-US"/>
        </w:rPr>
        <w:t>NIP: 5790006760</w:t>
      </w:r>
    </w:p>
    <w:p w14:paraId="102B7513" w14:textId="77777777" w:rsidR="0055160E" w:rsidRPr="00D80782" w:rsidRDefault="0055160E" w:rsidP="0055160E">
      <w:pPr>
        <w:spacing w:after="0"/>
        <w:rPr>
          <w:lang w:val="en-US"/>
        </w:rPr>
      </w:pPr>
      <w:r w:rsidRPr="00D80782">
        <w:rPr>
          <w:lang w:val="en-US"/>
        </w:rPr>
        <w:t>REGON: 170062696</w:t>
      </w:r>
    </w:p>
    <w:p w14:paraId="6E370C8D" w14:textId="77777777" w:rsidR="0055160E" w:rsidRPr="00D80782" w:rsidRDefault="0055160E" w:rsidP="0055160E">
      <w:pPr>
        <w:spacing w:after="0"/>
        <w:rPr>
          <w:lang w:val="en-US"/>
        </w:rPr>
      </w:pPr>
      <w:r w:rsidRPr="00D80782">
        <w:rPr>
          <w:lang w:val="en-US"/>
        </w:rPr>
        <w:t>Adres e-mail: office@nyborg-mawent.com</w:t>
      </w:r>
    </w:p>
    <w:p w14:paraId="50E97555" w14:textId="77777777" w:rsidR="0055160E" w:rsidRDefault="0055160E" w:rsidP="0055160E">
      <w:pPr>
        <w:spacing w:after="0"/>
      </w:pPr>
      <w:r>
        <w:t>Telefon: +48 556466300</w:t>
      </w:r>
    </w:p>
    <w:p w14:paraId="27471E50" w14:textId="77777777" w:rsidR="0055160E" w:rsidRDefault="0055160E" w:rsidP="0055160E"/>
    <w:p w14:paraId="6E62B422" w14:textId="77777777" w:rsidR="0055160E" w:rsidRPr="00836F73" w:rsidRDefault="0055160E" w:rsidP="0055160E">
      <w:pPr>
        <w:rPr>
          <w:b/>
        </w:rPr>
      </w:pPr>
      <w:r w:rsidRPr="00836F73">
        <w:rPr>
          <w:b/>
        </w:rPr>
        <w:t>II. SPOSÓB I MIEJSCE PUBLIKACJI OGŁOSZENIA</w:t>
      </w:r>
    </w:p>
    <w:p w14:paraId="5BA56AB8" w14:textId="38558AA4" w:rsidR="0055160E" w:rsidRPr="00836F73" w:rsidRDefault="0055160E" w:rsidP="0055160E">
      <w:pPr>
        <w:jc w:val="both"/>
      </w:pPr>
      <w:r w:rsidRPr="00836F73">
        <w:t>Upublicznienie zapytania ofertowego nastąpiło poprzez umieszczenie zapytania w bazie konkurencyjności https://bazakonkurencyjnosci.funduszeeuropejskie.gov.pl/</w:t>
      </w:r>
      <w:r w:rsidR="00503D4F">
        <w:t>.</w:t>
      </w:r>
    </w:p>
    <w:p w14:paraId="73FC041C" w14:textId="77777777" w:rsidR="0055160E" w:rsidRDefault="0055160E" w:rsidP="0055160E">
      <w:pPr>
        <w:rPr>
          <w:b/>
        </w:rPr>
      </w:pPr>
      <w:r>
        <w:rPr>
          <w:b/>
        </w:rPr>
        <w:t>III.TRYB UDZIELENIA ZAMÓWIENIA</w:t>
      </w:r>
    </w:p>
    <w:p w14:paraId="26369C43" w14:textId="578D37A0" w:rsidR="0055160E" w:rsidRDefault="0055160E" w:rsidP="00853B01">
      <w:pPr>
        <w:jc w:val="both"/>
      </w:pPr>
      <w:r>
        <w:t>1. Niniejsze postępowanie prowadzone jest z zachowaniem zasady konkurencyjności, o której mowa w aktualnych na dzień ogłoszenia Zapytania Ofertoweg</w:t>
      </w:r>
      <w:r w:rsidR="00EE0296">
        <w:t xml:space="preserve">o </w:t>
      </w:r>
      <w:r w:rsidR="00EE0296" w:rsidRPr="00915ADE">
        <w:t xml:space="preserve">nr </w:t>
      </w:r>
      <w:r w:rsidR="006E7B4F">
        <w:t>46</w:t>
      </w:r>
      <w:r w:rsidR="006A2B04" w:rsidRPr="00915ADE">
        <w:t>/</w:t>
      </w:r>
      <w:r w:rsidRPr="00915ADE">
        <w:t>202</w:t>
      </w:r>
      <w:r w:rsidR="001B5579">
        <w:t>3</w:t>
      </w:r>
      <w:r w:rsidRPr="00915ADE">
        <w:t>/POIR.01.01.01 Wytycznych w</w:t>
      </w:r>
      <w:r>
        <w:t xml:space="preserve"> zakresie kwalifikowalności wydatków w ramach Europejskiego Funduszu Rozwoju Regionalnego, Europejskiego Funduszu Społecznego oraz Funduszu Spójności na lata 2014-2020 (dalej: Wytyczne).</w:t>
      </w:r>
    </w:p>
    <w:p w14:paraId="18157402" w14:textId="77777777" w:rsidR="0055160E" w:rsidRDefault="0055160E" w:rsidP="00D81540">
      <w:pPr>
        <w:jc w:val="both"/>
      </w:pPr>
      <w:r>
        <w:t>2. Do niniejszego zapytania ofertowego nie stosuje się Ustawy z dnia 29 stycznia 2004 r. Prawo Zamówień Publicznych (Dz. U. z 2017 r. poz. 1579).</w:t>
      </w:r>
    </w:p>
    <w:p w14:paraId="0A103703" w14:textId="7AB3F933" w:rsidR="0055160E" w:rsidRDefault="0055160E" w:rsidP="00853B01">
      <w:pPr>
        <w:jc w:val="both"/>
      </w:pPr>
      <w:r>
        <w:t xml:space="preserve">3. Dane osobowe przekazane zamawiającemu w toku prowadzenia postępowania będą przetwarzane zgodnie z regulacjami rozporządzenia Parlamentu Europejskiego i Rady (UE) 2016/679 z dnia 27 kwietnia 2016 r. w sprawie ochrony osób fizycznych w związku z przetwarzaniem danych osobowych i </w:t>
      </w:r>
      <w:r>
        <w:lastRenderedPageBreak/>
        <w:t xml:space="preserve">w sprawie swobodnego przepływu takich danych oraz uchylenia dyrektywy 95/46/WE (ogólne rozporządzenie o ochronie danych) (Dz. Urz. UE L 119 z 04.05.2016, str. 1). Szczegółowe informacja w tym zakresie znajdują się w Załączniku nr </w:t>
      </w:r>
      <w:r w:rsidR="0031171A">
        <w:t>2</w:t>
      </w:r>
      <w:r>
        <w:t>.</w:t>
      </w:r>
    </w:p>
    <w:p w14:paraId="2B1B301A" w14:textId="77777777" w:rsidR="0055160E" w:rsidRDefault="0055160E" w:rsidP="00D81540">
      <w:pPr>
        <w:jc w:val="both"/>
      </w:pPr>
      <w:r>
        <w:t>4. W sprawach nieuregulowanych zastosowanie znajdują bezwzględnie obowiązujące przepisy prawa w szczególności ustawy z dnia 23 kwietnia 1964 r. Kodeks cywilny (Dz.U.1964.16.93 z późn. zm.).</w:t>
      </w:r>
    </w:p>
    <w:p w14:paraId="70273D9C" w14:textId="77777777" w:rsidR="00594519" w:rsidRDefault="00594519" w:rsidP="0055160E"/>
    <w:p w14:paraId="27753383" w14:textId="15476CD7" w:rsidR="0055160E" w:rsidRDefault="0055160E" w:rsidP="0055160E">
      <w:pPr>
        <w:rPr>
          <w:b/>
        </w:rPr>
      </w:pPr>
      <w:r>
        <w:rPr>
          <w:b/>
        </w:rPr>
        <w:t>IV.OPIS PRZEDMIOTU ZAMÓWIENIA</w:t>
      </w:r>
    </w:p>
    <w:p w14:paraId="65DF4939" w14:textId="17CD42CF" w:rsidR="00EB2F12" w:rsidRDefault="00915ADE" w:rsidP="00E913EE">
      <w:pPr>
        <w:jc w:val="both"/>
        <w:rPr>
          <w:color w:val="000000" w:themeColor="text1"/>
        </w:rPr>
      </w:pPr>
      <w:r>
        <w:t>Przedmiot zamó</w:t>
      </w:r>
      <w:r w:rsidR="005E524D" w:rsidRPr="005E524D">
        <w:t xml:space="preserve">wienia dotyczy </w:t>
      </w:r>
      <w:r w:rsidR="00EE78C1">
        <w:t xml:space="preserve">dostawy </w:t>
      </w:r>
      <w:r w:rsidR="00E913EE">
        <w:t>m</w:t>
      </w:r>
      <w:r w:rsidR="00E913EE" w:rsidRPr="00E913EE">
        <w:t xml:space="preserve">ateriałów </w:t>
      </w:r>
      <w:r w:rsidR="00EE78C1">
        <w:t xml:space="preserve">niezbędnych </w:t>
      </w:r>
      <w:r w:rsidR="00E913EE" w:rsidRPr="00E913EE">
        <w:t>do budowy prototypów wentylatorów</w:t>
      </w:r>
      <w:r w:rsidR="00053064">
        <w:t xml:space="preserve"> powstających w projekcie</w:t>
      </w:r>
      <w:r w:rsidR="00E913EE" w:rsidRPr="00E913EE">
        <w:t xml:space="preserve">, w tym: </w:t>
      </w:r>
      <w:r w:rsidR="00852313">
        <w:t>pręty, ceownik, d</w:t>
      </w:r>
      <w:r w:rsidR="00E913EE" w:rsidRPr="00E913EE">
        <w:t>rut</w:t>
      </w:r>
      <w:r w:rsidR="0064098F">
        <w:t xml:space="preserve"> spawalniczy</w:t>
      </w:r>
      <w:r w:rsidR="00E913EE" w:rsidRPr="00E913EE">
        <w:t>, blachy, farby</w:t>
      </w:r>
      <w:r w:rsidR="00852313">
        <w:t>:</w:t>
      </w:r>
    </w:p>
    <w:p w14:paraId="761E298E" w14:textId="6A8FA920" w:rsidR="00E913EE" w:rsidRDefault="0030001F" w:rsidP="001B5579">
      <w:pPr>
        <w:jc w:val="both"/>
        <w:rPr>
          <w:color w:val="000000" w:themeColor="text1"/>
        </w:rPr>
      </w:pPr>
      <w:r w:rsidRPr="00D85553">
        <w:rPr>
          <w:b/>
          <w:bCs/>
        </w:rPr>
        <w:t>Szczegółowy opis przedmiotu zamówienia</w:t>
      </w:r>
      <w:r>
        <w:rPr>
          <w:color w:val="000000" w:themeColor="text1"/>
        </w:rPr>
        <w:t xml:space="preserve">: </w:t>
      </w:r>
      <w:r w:rsidR="00E913EE">
        <w:rPr>
          <w:color w:val="000000" w:themeColor="text1"/>
        </w:rPr>
        <w:t>Zamówienie składa się z następujących części</w:t>
      </w:r>
      <w:r>
        <w:rPr>
          <w:color w:val="000000" w:themeColor="text1"/>
        </w:rPr>
        <w:t>, spełniających poniższe cechy i parametry</w:t>
      </w:r>
      <w:r w:rsidR="00E913EE">
        <w:rPr>
          <w:color w:val="000000" w:themeColor="text1"/>
        </w:rPr>
        <w:t>:</w:t>
      </w:r>
    </w:p>
    <w:p w14:paraId="62EC478F" w14:textId="77777777" w:rsidR="0043016B" w:rsidRPr="0043016B" w:rsidRDefault="0043016B" w:rsidP="001B5579">
      <w:pPr>
        <w:jc w:val="both"/>
        <w:rPr>
          <w:color w:val="000000" w:themeColor="text1"/>
        </w:rPr>
      </w:pPr>
    </w:p>
    <w:p w14:paraId="33B6D350" w14:textId="5F2642A5" w:rsidR="00E913EE" w:rsidRPr="004223CC" w:rsidRDefault="00E913EE" w:rsidP="00E913EE">
      <w:pPr>
        <w:pStyle w:val="Akapitzlist"/>
        <w:numPr>
          <w:ilvl w:val="0"/>
          <w:numId w:val="30"/>
        </w:numPr>
        <w:jc w:val="both"/>
        <w:rPr>
          <w:b/>
          <w:color w:val="000000" w:themeColor="text1"/>
        </w:rPr>
      </w:pPr>
      <w:r w:rsidRPr="004223CC">
        <w:rPr>
          <w:b/>
          <w:color w:val="000000" w:themeColor="text1"/>
        </w:rPr>
        <w:t>Część:</w:t>
      </w:r>
    </w:p>
    <w:p w14:paraId="2BE5B448" w14:textId="19EE3FFA" w:rsidR="00F279AE" w:rsidRPr="0030728B" w:rsidRDefault="00E913EE" w:rsidP="00F279AE">
      <w:pPr>
        <w:pStyle w:val="Akapitzlist"/>
        <w:numPr>
          <w:ilvl w:val="1"/>
          <w:numId w:val="30"/>
        </w:numPr>
        <w:jc w:val="both"/>
        <w:rPr>
          <w:b/>
          <w:color w:val="000000" w:themeColor="text1"/>
        </w:rPr>
      </w:pPr>
      <w:r w:rsidRPr="0030728B">
        <w:rPr>
          <w:b/>
          <w:color w:val="000000" w:themeColor="text1"/>
        </w:rPr>
        <w:t>Pręt</w:t>
      </w:r>
      <w:r w:rsidR="00F279AE" w:rsidRPr="0030728B">
        <w:rPr>
          <w:b/>
          <w:color w:val="000000" w:themeColor="text1"/>
        </w:rPr>
        <w:t xml:space="preserve"> okrągły</w:t>
      </w:r>
      <w:r w:rsidRPr="0030728B">
        <w:rPr>
          <w:b/>
          <w:color w:val="000000" w:themeColor="text1"/>
        </w:rPr>
        <w:t xml:space="preserve"> </w:t>
      </w:r>
      <w:r w:rsidRPr="0030728B">
        <w:rPr>
          <w:rFonts w:cstheme="minorHAnsi"/>
          <w:b/>
          <w:color w:val="000000" w:themeColor="text1"/>
        </w:rPr>
        <w:t>Ø</w:t>
      </w:r>
      <w:r w:rsidR="001B5579">
        <w:rPr>
          <w:b/>
          <w:color w:val="000000" w:themeColor="text1"/>
        </w:rPr>
        <w:t xml:space="preserve"> 130</w:t>
      </w:r>
      <w:r w:rsidRPr="0030728B">
        <w:rPr>
          <w:b/>
          <w:color w:val="000000" w:themeColor="text1"/>
        </w:rPr>
        <w:t xml:space="preserve"> mm</w:t>
      </w:r>
      <w:r w:rsidR="00F279AE" w:rsidRPr="0030728B">
        <w:rPr>
          <w:b/>
          <w:color w:val="000000" w:themeColor="text1"/>
        </w:rPr>
        <w:t>:</w:t>
      </w:r>
    </w:p>
    <w:p w14:paraId="2101B1D6" w14:textId="77777777" w:rsidR="00F279AE" w:rsidRPr="0030728B" w:rsidRDefault="00F279AE" w:rsidP="00F279AE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0728B">
        <w:rPr>
          <w:color w:val="000000" w:themeColor="text1"/>
        </w:rPr>
        <w:t>Norma: PN-EN 10279:2003</w:t>
      </w:r>
    </w:p>
    <w:p w14:paraId="78C3BD92" w14:textId="4AAA670D" w:rsidR="00F279AE" w:rsidRPr="0030728B" w:rsidRDefault="00F279AE" w:rsidP="00F279AE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0728B">
        <w:rPr>
          <w:color w:val="000000" w:themeColor="text1"/>
        </w:rPr>
        <w:t>Materiał: S355J2</w:t>
      </w:r>
    </w:p>
    <w:p w14:paraId="10674D6B" w14:textId="14BA515E" w:rsidR="00E913EE" w:rsidRDefault="00B96B81" w:rsidP="00F279AE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 w:rsidRPr="0030728B">
        <w:rPr>
          <w:color w:val="000000" w:themeColor="text1"/>
        </w:rPr>
        <w:t>i</w:t>
      </w:r>
      <w:r w:rsidR="001B5579">
        <w:rPr>
          <w:color w:val="000000" w:themeColor="text1"/>
        </w:rPr>
        <w:t>lość: 0,5 mb</w:t>
      </w:r>
      <w:r w:rsidR="00F279AE" w:rsidRPr="0030728B">
        <w:rPr>
          <w:color w:val="000000" w:themeColor="text1"/>
        </w:rPr>
        <w:t xml:space="preserve"> </w:t>
      </w:r>
    </w:p>
    <w:p w14:paraId="7884D90B" w14:textId="1B877129" w:rsidR="0030001F" w:rsidRPr="0030728B" w:rsidRDefault="0030001F" w:rsidP="00F279AE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19EF59C9" w14:textId="319E405B" w:rsidR="00F279AE" w:rsidRPr="0030728B" w:rsidRDefault="00E913EE" w:rsidP="00F279AE">
      <w:pPr>
        <w:pStyle w:val="Akapitzlist"/>
        <w:numPr>
          <w:ilvl w:val="1"/>
          <w:numId w:val="30"/>
        </w:numPr>
        <w:jc w:val="both"/>
        <w:rPr>
          <w:color w:val="000000" w:themeColor="text1"/>
        </w:rPr>
      </w:pPr>
      <w:r w:rsidRPr="0030728B">
        <w:rPr>
          <w:b/>
          <w:color w:val="000000" w:themeColor="text1"/>
        </w:rPr>
        <w:t xml:space="preserve">Pręt </w:t>
      </w:r>
      <w:r w:rsidR="00F279AE" w:rsidRPr="0030728B">
        <w:rPr>
          <w:b/>
          <w:color w:val="000000" w:themeColor="text1"/>
        </w:rPr>
        <w:t xml:space="preserve">okrągły </w:t>
      </w:r>
      <w:r w:rsidRPr="0030728B">
        <w:rPr>
          <w:rFonts w:cstheme="minorHAnsi"/>
          <w:b/>
          <w:color w:val="000000" w:themeColor="text1"/>
        </w:rPr>
        <w:t>Ø</w:t>
      </w:r>
      <w:r w:rsidR="001B5579">
        <w:rPr>
          <w:b/>
          <w:color w:val="000000" w:themeColor="text1"/>
        </w:rPr>
        <w:t xml:space="preserve"> 30</w:t>
      </w:r>
      <w:r w:rsidRPr="0030728B">
        <w:rPr>
          <w:b/>
          <w:color w:val="000000" w:themeColor="text1"/>
        </w:rPr>
        <w:t>0 mm</w:t>
      </w:r>
      <w:r w:rsidRPr="0030728B">
        <w:rPr>
          <w:color w:val="000000" w:themeColor="text1"/>
        </w:rPr>
        <w:t xml:space="preserve"> </w:t>
      </w:r>
    </w:p>
    <w:p w14:paraId="11B393D9" w14:textId="77777777" w:rsidR="00F279AE" w:rsidRPr="0030728B" w:rsidRDefault="00F279AE" w:rsidP="00F279AE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0728B">
        <w:rPr>
          <w:color w:val="000000" w:themeColor="text1"/>
        </w:rPr>
        <w:t>Norma: PN-EN 10279:2003</w:t>
      </w:r>
    </w:p>
    <w:p w14:paraId="313BB317" w14:textId="77777777" w:rsidR="00F279AE" w:rsidRPr="0030728B" w:rsidRDefault="00F279AE" w:rsidP="00F279AE">
      <w:pPr>
        <w:pStyle w:val="Akapitzlist"/>
        <w:numPr>
          <w:ilvl w:val="0"/>
          <w:numId w:val="36"/>
        </w:numPr>
        <w:rPr>
          <w:color w:val="000000" w:themeColor="text1"/>
        </w:rPr>
      </w:pPr>
      <w:r w:rsidRPr="0030728B">
        <w:rPr>
          <w:color w:val="000000" w:themeColor="text1"/>
        </w:rPr>
        <w:t>Materiał: S355J2</w:t>
      </w:r>
    </w:p>
    <w:p w14:paraId="5A52493A" w14:textId="6D8E2B86" w:rsidR="00F279AE" w:rsidRDefault="003B3307" w:rsidP="00F279AE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 w:rsidRPr="0030728B">
        <w:rPr>
          <w:color w:val="000000" w:themeColor="text1"/>
        </w:rPr>
        <w:t xml:space="preserve">ilość: </w:t>
      </w:r>
      <w:r w:rsidR="001B5579">
        <w:rPr>
          <w:color w:val="000000" w:themeColor="text1"/>
        </w:rPr>
        <w:t>0,2 mb</w:t>
      </w:r>
    </w:p>
    <w:p w14:paraId="5B6FEA51" w14:textId="0CA5AE42" w:rsidR="0030001F" w:rsidRPr="0030001F" w:rsidRDefault="0030001F" w:rsidP="0030001F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75D26937" w14:textId="77970DBF" w:rsidR="00F279AE" w:rsidRPr="0030728B" w:rsidRDefault="00EC4A6D" w:rsidP="00852313">
      <w:pPr>
        <w:pStyle w:val="Akapitzlist"/>
        <w:jc w:val="both"/>
        <w:rPr>
          <w:color w:val="000000" w:themeColor="text1"/>
        </w:rPr>
      </w:pPr>
      <w:r>
        <w:rPr>
          <w:b/>
          <w:color w:val="000000" w:themeColor="text1"/>
        </w:rPr>
        <w:t>1</w:t>
      </w:r>
      <w:r w:rsidR="003B3307" w:rsidRPr="0030728B">
        <w:rPr>
          <w:b/>
          <w:color w:val="000000" w:themeColor="text1"/>
        </w:rPr>
        <w:t>.3</w:t>
      </w:r>
      <w:r w:rsidR="00852313" w:rsidRPr="0030728B">
        <w:rPr>
          <w:b/>
          <w:color w:val="000000" w:themeColor="text1"/>
        </w:rPr>
        <w:t xml:space="preserve"> </w:t>
      </w:r>
      <w:r w:rsidR="00E913EE" w:rsidRPr="0030728B">
        <w:rPr>
          <w:b/>
          <w:color w:val="000000" w:themeColor="text1"/>
        </w:rPr>
        <w:t xml:space="preserve">Ceownik </w:t>
      </w:r>
      <w:r w:rsidR="00F279AE" w:rsidRPr="0030728B">
        <w:rPr>
          <w:b/>
          <w:color w:val="000000" w:themeColor="text1"/>
        </w:rPr>
        <w:t xml:space="preserve">zwykły UPN </w:t>
      </w:r>
      <w:r w:rsidR="001B5579">
        <w:rPr>
          <w:b/>
          <w:color w:val="000000" w:themeColor="text1"/>
        </w:rPr>
        <w:t>140</w:t>
      </w:r>
    </w:p>
    <w:p w14:paraId="607B444E" w14:textId="39BA9E0B" w:rsidR="00F279AE" w:rsidRPr="0030728B" w:rsidRDefault="00F279AE" w:rsidP="00F279AE">
      <w:pPr>
        <w:pStyle w:val="Akapitzlist"/>
        <w:numPr>
          <w:ilvl w:val="0"/>
          <w:numId w:val="34"/>
        </w:numPr>
        <w:rPr>
          <w:color w:val="000000" w:themeColor="text1"/>
        </w:rPr>
      </w:pPr>
      <w:r w:rsidRPr="0030728B">
        <w:rPr>
          <w:color w:val="000000" w:themeColor="text1"/>
        </w:rPr>
        <w:t>Norma: PN-EN 10279:2003</w:t>
      </w:r>
    </w:p>
    <w:p w14:paraId="756104C2" w14:textId="77777777" w:rsidR="00F279AE" w:rsidRPr="0030728B" w:rsidRDefault="00F279AE" w:rsidP="00F279AE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30728B">
        <w:rPr>
          <w:color w:val="000000" w:themeColor="text1"/>
        </w:rPr>
        <w:t>Materiał: S235JR 9G</w:t>
      </w:r>
    </w:p>
    <w:p w14:paraId="4A1C0305" w14:textId="7CA6FE74" w:rsidR="00852313" w:rsidRDefault="00B96B81" w:rsidP="00F279AE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30728B">
        <w:rPr>
          <w:color w:val="000000" w:themeColor="text1"/>
        </w:rPr>
        <w:t xml:space="preserve">ilość: </w:t>
      </w:r>
      <w:r w:rsidR="001B5579">
        <w:rPr>
          <w:color w:val="000000" w:themeColor="text1"/>
        </w:rPr>
        <w:t>12 mb</w:t>
      </w:r>
    </w:p>
    <w:p w14:paraId="403ADF91" w14:textId="22775E7C" w:rsidR="00852313" w:rsidRDefault="0030001F" w:rsidP="0030001F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517CC8F9" w14:textId="77777777" w:rsidR="0043016B" w:rsidRDefault="0043016B" w:rsidP="0043016B">
      <w:pPr>
        <w:pStyle w:val="Akapitzlist"/>
        <w:ind w:left="1776"/>
        <w:jc w:val="both"/>
        <w:rPr>
          <w:color w:val="000000" w:themeColor="text1"/>
        </w:rPr>
      </w:pPr>
    </w:p>
    <w:p w14:paraId="1D823149" w14:textId="77777777" w:rsidR="0043016B" w:rsidRPr="0030001F" w:rsidRDefault="0043016B" w:rsidP="0043016B">
      <w:pPr>
        <w:pStyle w:val="Akapitzlist"/>
        <w:ind w:left="1776"/>
        <w:jc w:val="both"/>
        <w:rPr>
          <w:color w:val="000000" w:themeColor="text1"/>
        </w:rPr>
      </w:pPr>
    </w:p>
    <w:p w14:paraId="4C82C6AB" w14:textId="0972A766" w:rsidR="00E913EE" w:rsidRPr="004223CC" w:rsidRDefault="00E913EE" w:rsidP="00E913EE">
      <w:pPr>
        <w:pStyle w:val="Akapitzlist"/>
        <w:numPr>
          <w:ilvl w:val="0"/>
          <w:numId w:val="30"/>
        </w:numPr>
        <w:jc w:val="both"/>
        <w:rPr>
          <w:b/>
          <w:color w:val="000000" w:themeColor="text1"/>
        </w:rPr>
      </w:pPr>
      <w:r w:rsidRPr="004223CC">
        <w:rPr>
          <w:b/>
          <w:color w:val="000000" w:themeColor="text1"/>
        </w:rPr>
        <w:t>Część:</w:t>
      </w:r>
    </w:p>
    <w:p w14:paraId="10240F30" w14:textId="77777777" w:rsidR="00F279AE" w:rsidRDefault="00B96B81" w:rsidP="00B96B81">
      <w:pPr>
        <w:pStyle w:val="Akapitzlist"/>
        <w:numPr>
          <w:ilvl w:val="1"/>
          <w:numId w:val="30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F</w:t>
      </w:r>
      <w:r w:rsidRPr="00B96B81">
        <w:rPr>
          <w:b/>
          <w:color w:val="000000" w:themeColor="text1"/>
        </w:rPr>
        <w:t>arba strukturalna poliuretanowa jednowarstwowa półmatowa</w:t>
      </w:r>
    </w:p>
    <w:p w14:paraId="68020D16" w14:textId="3744FE1D" w:rsidR="00852313" w:rsidRPr="0030728B" w:rsidRDefault="00F279AE" w:rsidP="0030728B">
      <w:pPr>
        <w:pStyle w:val="Akapitzlist"/>
        <w:numPr>
          <w:ilvl w:val="0"/>
          <w:numId w:val="35"/>
        </w:numPr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="00852313">
        <w:rPr>
          <w:color w:val="000000" w:themeColor="text1"/>
        </w:rPr>
        <w:t>lość</w:t>
      </w:r>
      <w:r>
        <w:rPr>
          <w:color w:val="000000" w:themeColor="text1"/>
        </w:rPr>
        <w:t>:</w:t>
      </w:r>
      <w:r w:rsidR="00852313">
        <w:rPr>
          <w:color w:val="000000" w:themeColor="text1"/>
        </w:rPr>
        <w:t xml:space="preserve"> 36 litrów</w:t>
      </w:r>
    </w:p>
    <w:p w14:paraId="0E8CA669" w14:textId="41233AFF" w:rsidR="00E913EE" w:rsidRDefault="00852313" w:rsidP="00852313">
      <w:pPr>
        <w:pStyle w:val="Akapitzlist"/>
        <w:numPr>
          <w:ilvl w:val="0"/>
          <w:numId w:val="3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Kolor: </w:t>
      </w:r>
      <w:r w:rsidR="00E913EE" w:rsidRPr="00852313">
        <w:rPr>
          <w:color w:val="000000" w:themeColor="text1"/>
        </w:rPr>
        <w:t xml:space="preserve">RAL </w:t>
      </w:r>
      <w:r w:rsidR="002D1B1C">
        <w:rPr>
          <w:color w:val="000000" w:themeColor="text1"/>
        </w:rPr>
        <w:t>5010</w:t>
      </w:r>
      <w:r w:rsidR="00E913EE" w:rsidRPr="00852313">
        <w:rPr>
          <w:color w:val="000000" w:themeColor="text1"/>
        </w:rPr>
        <w:t xml:space="preserve"> półmat</w:t>
      </w:r>
    </w:p>
    <w:p w14:paraId="60CB0A33" w14:textId="65C4DCDD" w:rsidR="00E84A4C" w:rsidRDefault="00E84A4C" w:rsidP="00852313">
      <w:pPr>
        <w:pStyle w:val="Akapitzlist"/>
        <w:numPr>
          <w:ilvl w:val="0"/>
          <w:numId w:val="31"/>
        </w:numPr>
        <w:jc w:val="both"/>
        <w:rPr>
          <w:color w:val="000000" w:themeColor="text1"/>
        </w:rPr>
      </w:pPr>
      <w:r>
        <w:rPr>
          <w:color w:val="000000" w:themeColor="text1"/>
        </w:rPr>
        <w:t>Na powierzchnie metalowe</w:t>
      </w:r>
    </w:p>
    <w:p w14:paraId="26A98C6C" w14:textId="77777777" w:rsidR="0043016B" w:rsidRDefault="0043016B" w:rsidP="0043016B">
      <w:pPr>
        <w:pStyle w:val="Akapitzlist"/>
        <w:ind w:left="1800"/>
        <w:jc w:val="both"/>
        <w:rPr>
          <w:color w:val="000000" w:themeColor="text1"/>
        </w:rPr>
      </w:pPr>
    </w:p>
    <w:p w14:paraId="71DA43EF" w14:textId="77777777" w:rsidR="00852313" w:rsidRPr="00852313" w:rsidRDefault="00852313" w:rsidP="00852313">
      <w:pPr>
        <w:pStyle w:val="Akapitzlist"/>
        <w:ind w:left="1800"/>
        <w:jc w:val="both"/>
        <w:rPr>
          <w:color w:val="000000" w:themeColor="text1"/>
        </w:rPr>
      </w:pPr>
    </w:p>
    <w:p w14:paraId="72AEF156" w14:textId="5A0B0BA6" w:rsidR="00E913EE" w:rsidRPr="004223CC" w:rsidRDefault="00E913EE" w:rsidP="00E913EE">
      <w:pPr>
        <w:pStyle w:val="Akapitzlist"/>
        <w:numPr>
          <w:ilvl w:val="0"/>
          <w:numId w:val="30"/>
        </w:numPr>
        <w:jc w:val="both"/>
        <w:rPr>
          <w:b/>
          <w:color w:val="000000" w:themeColor="text1"/>
        </w:rPr>
      </w:pPr>
      <w:r w:rsidRPr="004223CC">
        <w:rPr>
          <w:b/>
          <w:color w:val="000000" w:themeColor="text1"/>
        </w:rPr>
        <w:t xml:space="preserve">Część: </w:t>
      </w:r>
    </w:p>
    <w:p w14:paraId="5A8D57F9" w14:textId="0AE43992" w:rsidR="00E913EE" w:rsidRPr="00DB41C9" w:rsidRDefault="00E913EE" w:rsidP="00DB41C9">
      <w:pPr>
        <w:pStyle w:val="Akapitzlist"/>
        <w:numPr>
          <w:ilvl w:val="1"/>
          <w:numId w:val="30"/>
        </w:numPr>
        <w:jc w:val="both"/>
        <w:rPr>
          <w:color w:val="000000" w:themeColor="text1"/>
        </w:rPr>
      </w:pPr>
      <w:r w:rsidRPr="00852313">
        <w:rPr>
          <w:b/>
          <w:color w:val="000000" w:themeColor="text1"/>
        </w:rPr>
        <w:t>Drut</w:t>
      </w:r>
      <w:r w:rsidR="00DB41C9">
        <w:rPr>
          <w:b/>
          <w:color w:val="000000" w:themeColor="text1"/>
        </w:rPr>
        <w:t xml:space="preserve"> spawalniczy </w:t>
      </w:r>
      <w:r w:rsidRPr="00DB41C9">
        <w:rPr>
          <w:b/>
          <w:color w:val="000000" w:themeColor="text1"/>
        </w:rPr>
        <w:t>SG-2</w:t>
      </w:r>
      <w:r w:rsidRPr="00DB41C9">
        <w:rPr>
          <w:color w:val="000000" w:themeColor="text1"/>
        </w:rPr>
        <w:t xml:space="preserve"> </w:t>
      </w:r>
    </w:p>
    <w:p w14:paraId="4F03A62E" w14:textId="5A27934D" w:rsidR="00E913EE" w:rsidRDefault="00E913EE" w:rsidP="00852313">
      <w:pPr>
        <w:pStyle w:val="Akapitzlist"/>
        <w:numPr>
          <w:ilvl w:val="0"/>
          <w:numId w:val="32"/>
        </w:numPr>
        <w:jc w:val="both"/>
        <w:rPr>
          <w:color w:val="000000" w:themeColor="text1"/>
        </w:rPr>
      </w:pPr>
      <w:r>
        <w:rPr>
          <w:rFonts w:cstheme="minorHAnsi"/>
          <w:color w:val="000000" w:themeColor="text1"/>
        </w:rPr>
        <w:t>Ø</w:t>
      </w:r>
      <w:r w:rsidR="00E716D9">
        <w:rPr>
          <w:color w:val="000000" w:themeColor="text1"/>
        </w:rPr>
        <w:t xml:space="preserve"> 1,0</w:t>
      </w:r>
      <w:r>
        <w:rPr>
          <w:color w:val="000000" w:themeColor="text1"/>
        </w:rPr>
        <w:t xml:space="preserve"> mm</w:t>
      </w:r>
    </w:p>
    <w:p w14:paraId="4C061C89" w14:textId="77777777" w:rsidR="00F279AE" w:rsidRDefault="00F279AE" w:rsidP="00F279AE">
      <w:pPr>
        <w:pStyle w:val="Akapitzlist"/>
        <w:numPr>
          <w:ilvl w:val="0"/>
          <w:numId w:val="32"/>
        </w:numPr>
        <w:jc w:val="both"/>
        <w:rPr>
          <w:color w:val="000000" w:themeColor="text1"/>
        </w:rPr>
      </w:pPr>
      <w:r>
        <w:rPr>
          <w:rFonts w:cstheme="minorHAnsi"/>
          <w:color w:val="000000" w:themeColor="text1"/>
        </w:rPr>
        <w:t>miedziowany</w:t>
      </w:r>
    </w:p>
    <w:p w14:paraId="0421E3C3" w14:textId="6E7DDA4D" w:rsidR="00F279AE" w:rsidRDefault="0064256A" w:rsidP="0064256A">
      <w:pPr>
        <w:pStyle w:val="Akapitzlist"/>
        <w:numPr>
          <w:ilvl w:val="0"/>
          <w:numId w:val="32"/>
        </w:numPr>
        <w:jc w:val="both"/>
        <w:rPr>
          <w:color w:val="000000" w:themeColor="text1"/>
        </w:rPr>
      </w:pPr>
      <w:r w:rsidRPr="0064256A">
        <w:rPr>
          <w:color w:val="000000" w:themeColor="text1"/>
        </w:rPr>
        <w:t>ilość: 2 rolki po ok 15 kg (łącznie minimum 30 kg )</w:t>
      </w:r>
    </w:p>
    <w:p w14:paraId="2C80AD18" w14:textId="21CD7AC9" w:rsidR="003F6654" w:rsidRPr="0043016B" w:rsidRDefault="0030001F" w:rsidP="0043016B">
      <w:pPr>
        <w:pStyle w:val="Akapitzlist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613E6A26" w14:textId="77777777" w:rsidR="00852313" w:rsidRDefault="00852313" w:rsidP="004223CC">
      <w:pPr>
        <w:pStyle w:val="Akapitzlist"/>
        <w:ind w:left="1440"/>
        <w:jc w:val="both"/>
        <w:rPr>
          <w:color w:val="000000" w:themeColor="text1"/>
        </w:rPr>
      </w:pPr>
    </w:p>
    <w:p w14:paraId="008AA0CA" w14:textId="2791E331" w:rsidR="00852313" w:rsidRPr="004223CC" w:rsidRDefault="00852313" w:rsidP="00852313">
      <w:pPr>
        <w:pStyle w:val="Akapitzlist"/>
        <w:numPr>
          <w:ilvl w:val="0"/>
          <w:numId w:val="30"/>
        </w:numPr>
        <w:jc w:val="both"/>
        <w:rPr>
          <w:b/>
          <w:color w:val="000000" w:themeColor="text1"/>
        </w:rPr>
      </w:pPr>
      <w:r w:rsidRPr="004223CC">
        <w:rPr>
          <w:b/>
          <w:color w:val="000000" w:themeColor="text1"/>
        </w:rPr>
        <w:t>Część:</w:t>
      </w:r>
    </w:p>
    <w:p w14:paraId="6DB7F62F" w14:textId="57B588F1" w:rsidR="00905474" w:rsidRPr="00916978" w:rsidRDefault="00905474" w:rsidP="00905474">
      <w:pPr>
        <w:pStyle w:val="Akapitzlist"/>
        <w:numPr>
          <w:ilvl w:val="1"/>
          <w:numId w:val="30"/>
        </w:numPr>
        <w:jc w:val="both"/>
        <w:rPr>
          <w:b/>
          <w:color w:val="000000" w:themeColor="text1"/>
        </w:rPr>
      </w:pPr>
      <w:r w:rsidRPr="00916978">
        <w:rPr>
          <w:b/>
          <w:color w:val="000000" w:themeColor="text1"/>
        </w:rPr>
        <w:t xml:space="preserve">Blacha </w:t>
      </w:r>
      <w:r w:rsidR="00852313" w:rsidRPr="00916978">
        <w:rPr>
          <w:b/>
          <w:color w:val="000000" w:themeColor="text1"/>
        </w:rPr>
        <w:t xml:space="preserve"> </w:t>
      </w:r>
      <w:r w:rsidRPr="00916978">
        <w:rPr>
          <w:b/>
          <w:color w:val="000000" w:themeColor="text1"/>
        </w:rPr>
        <w:t xml:space="preserve">walcowana na  gorąco ze stali niestopowych </w:t>
      </w:r>
      <w:r w:rsidR="003F6654">
        <w:rPr>
          <w:b/>
          <w:color w:val="000000" w:themeColor="text1"/>
        </w:rPr>
        <w:t>10</w:t>
      </w:r>
      <w:r w:rsidR="00852313" w:rsidRPr="00916978">
        <w:rPr>
          <w:b/>
          <w:color w:val="000000" w:themeColor="text1"/>
        </w:rPr>
        <w:t xml:space="preserve"> MM </w:t>
      </w:r>
    </w:p>
    <w:p w14:paraId="0975609B" w14:textId="77777777" w:rsidR="00905474" w:rsidRPr="00905474" w:rsidRDefault="00905474" w:rsidP="0090547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Materiał: S235JRC+N</w:t>
      </w:r>
    </w:p>
    <w:p w14:paraId="7707CD08" w14:textId="77777777" w:rsidR="00905474" w:rsidRPr="00905474" w:rsidRDefault="00905474" w:rsidP="0090547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Norma:  PN-EN 10025-2:2019-11 , PN-EN 10051:2011</w:t>
      </w:r>
    </w:p>
    <w:p w14:paraId="4DD58A97" w14:textId="0151AAFD" w:rsidR="00905474" w:rsidRDefault="00905474" w:rsidP="0090547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Stan powierzchni: B3 wg. PN-EN 10163-2:2007</w:t>
      </w:r>
    </w:p>
    <w:p w14:paraId="1C19F976" w14:textId="632BBB67" w:rsidR="00905474" w:rsidRDefault="00905474" w:rsidP="0090547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FORMAT: </w:t>
      </w:r>
      <w:r w:rsidR="00852313">
        <w:rPr>
          <w:color w:val="000000" w:themeColor="text1"/>
        </w:rPr>
        <w:t>1500 X 3000 MM;</w:t>
      </w:r>
    </w:p>
    <w:p w14:paraId="3C2FB87E" w14:textId="3F65D587" w:rsidR="00852313" w:rsidRDefault="00905474" w:rsidP="0090547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ilość</w:t>
      </w:r>
      <w:r w:rsidR="00852313" w:rsidRPr="00905474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3F6654">
        <w:rPr>
          <w:color w:val="000000" w:themeColor="text1"/>
        </w:rPr>
        <w:t>1</w:t>
      </w:r>
      <w:r w:rsidR="00852313" w:rsidRPr="00905474">
        <w:rPr>
          <w:color w:val="000000" w:themeColor="text1"/>
        </w:rPr>
        <w:t xml:space="preserve"> arkusz</w:t>
      </w:r>
    </w:p>
    <w:p w14:paraId="0CC8984E" w14:textId="78F6AAF3" w:rsidR="0030001F" w:rsidRDefault="0030001F" w:rsidP="0030001F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5E82F8D7" w14:textId="77777777" w:rsidR="003F6654" w:rsidRPr="00916978" w:rsidRDefault="003F6654" w:rsidP="003F6654">
      <w:pPr>
        <w:pStyle w:val="Akapitzlist"/>
        <w:numPr>
          <w:ilvl w:val="1"/>
          <w:numId w:val="30"/>
        </w:numPr>
        <w:jc w:val="both"/>
        <w:rPr>
          <w:b/>
          <w:color w:val="000000" w:themeColor="text1"/>
        </w:rPr>
      </w:pPr>
      <w:r w:rsidRPr="00916978">
        <w:rPr>
          <w:b/>
          <w:color w:val="000000" w:themeColor="text1"/>
        </w:rPr>
        <w:t xml:space="preserve">Blacha  walcowana na  gorąco ze stali niestopowych 8 MM </w:t>
      </w:r>
    </w:p>
    <w:p w14:paraId="61913A94" w14:textId="77777777" w:rsidR="003F6654" w:rsidRPr="00905474" w:rsidRDefault="003F6654" w:rsidP="003F665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Materiał: S235JRC+N</w:t>
      </w:r>
    </w:p>
    <w:p w14:paraId="1B811DE1" w14:textId="77777777" w:rsidR="003F6654" w:rsidRPr="00905474" w:rsidRDefault="003F6654" w:rsidP="003F665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Norma:  PN-EN 10025-2:2019-11 , PN-EN 10051:2011</w:t>
      </w:r>
    </w:p>
    <w:p w14:paraId="4363F99C" w14:textId="77777777" w:rsidR="003F6654" w:rsidRDefault="003F6654" w:rsidP="003F665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Stan powierzchni: B3 wg. PN-EN 10163-2:2007</w:t>
      </w:r>
    </w:p>
    <w:p w14:paraId="6D6BAA57" w14:textId="77777777" w:rsidR="003F6654" w:rsidRDefault="003F6654" w:rsidP="003F665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 w:themeColor="text1"/>
        </w:rPr>
        <w:t>FORMAT: 1500 X 3000 MM;</w:t>
      </w:r>
    </w:p>
    <w:p w14:paraId="5672AF2F" w14:textId="77777777" w:rsidR="003F6654" w:rsidRDefault="003F6654" w:rsidP="003F665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ilość</w:t>
      </w:r>
      <w:r w:rsidRPr="00905474">
        <w:rPr>
          <w:color w:val="000000" w:themeColor="text1"/>
        </w:rPr>
        <w:t>:</w:t>
      </w:r>
      <w:r>
        <w:rPr>
          <w:color w:val="000000" w:themeColor="text1"/>
        </w:rPr>
        <w:t xml:space="preserve"> 2</w:t>
      </w:r>
      <w:r w:rsidRPr="00905474">
        <w:rPr>
          <w:color w:val="000000" w:themeColor="text1"/>
        </w:rPr>
        <w:t xml:space="preserve"> arkusz</w:t>
      </w:r>
      <w:r>
        <w:rPr>
          <w:color w:val="000000" w:themeColor="text1"/>
        </w:rPr>
        <w:t>e</w:t>
      </w:r>
    </w:p>
    <w:p w14:paraId="4077B28D" w14:textId="66707DEA" w:rsidR="003F6654" w:rsidRPr="003F6654" w:rsidRDefault="003F6654" w:rsidP="003F6654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26F6DCFE" w14:textId="04A84073" w:rsidR="00905474" w:rsidRPr="00916978" w:rsidRDefault="00905474" w:rsidP="00905474">
      <w:pPr>
        <w:pStyle w:val="Akapitzlist"/>
        <w:numPr>
          <w:ilvl w:val="1"/>
          <w:numId w:val="30"/>
        </w:numPr>
        <w:jc w:val="both"/>
        <w:rPr>
          <w:b/>
          <w:color w:val="000000" w:themeColor="text1"/>
        </w:rPr>
      </w:pPr>
      <w:r w:rsidRPr="00916978">
        <w:rPr>
          <w:b/>
          <w:color w:val="000000" w:themeColor="text1"/>
        </w:rPr>
        <w:t>Blacha  walcowana na  gorąco ze stali niestopowych</w:t>
      </w:r>
      <w:r w:rsidR="00852313" w:rsidRPr="00916978">
        <w:rPr>
          <w:b/>
          <w:color w:val="000000" w:themeColor="text1"/>
        </w:rPr>
        <w:t xml:space="preserve"> 6 MM </w:t>
      </w:r>
    </w:p>
    <w:p w14:paraId="52075ED9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Materiał: S235JRC+N</w:t>
      </w:r>
    </w:p>
    <w:p w14:paraId="7FCE91EE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Norma:  PN-EN 10025-2:2019-11 , PN-EN 10051:2011</w:t>
      </w:r>
    </w:p>
    <w:p w14:paraId="32C15544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Stan powierzchni: B3 wg. PN-EN 10163-2:2007</w:t>
      </w:r>
    </w:p>
    <w:p w14:paraId="3DF0EAA5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FORMAT: 1500 X 3000 MM;</w:t>
      </w:r>
    </w:p>
    <w:p w14:paraId="45BD3D0A" w14:textId="7A5C17E2" w:rsid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ilość</w:t>
      </w:r>
      <w:r w:rsidRPr="00905474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3F6654">
        <w:rPr>
          <w:color w:val="000000" w:themeColor="text1"/>
        </w:rPr>
        <w:t>2</w:t>
      </w:r>
      <w:r w:rsidRPr="00905474">
        <w:rPr>
          <w:color w:val="000000" w:themeColor="text1"/>
        </w:rPr>
        <w:t xml:space="preserve"> arkusz</w:t>
      </w:r>
      <w:r w:rsidR="003F6654">
        <w:rPr>
          <w:color w:val="000000" w:themeColor="text1"/>
        </w:rPr>
        <w:t>e</w:t>
      </w:r>
    </w:p>
    <w:p w14:paraId="2A091913" w14:textId="538AFE02" w:rsidR="0030001F" w:rsidRPr="0030001F" w:rsidRDefault="0030001F" w:rsidP="0030001F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25ADB955" w14:textId="77777777" w:rsidR="00905474" w:rsidRPr="00916978" w:rsidRDefault="00905474" w:rsidP="00905474">
      <w:pPr>
        <w:pStyle w:val="Akapitzlist"/>
        <w:numPr>
          <w:ilvl w:val="1"/>
          <w:numId w:val="30"/>
        </w:numPr>
        <w:jc w:val="both"/>
        <w:rPr>
          <w:b/>
          <w:color w:val="000000" w:themeColor="text1"/>
        </w:rPr>
      </w:pPr>
      <w:r w:rsidRPr="00916978">
        <w:rPr>
          <w:b/>
          <w:color w:val="000000" w:themeColor="text1"/>
        </w:rPr>
        <w:t>Blacha  walcowana na  gorąco ze stali niestopowych</w:t>
      </w:r>
      <w:r w:rsidR="00852313" w:rsidRPr="00916978">
        <w:rPr>
          <w:b/>
          <w:color w:val="000000" w:themeColor="text1"/>
        </w:rPr>
        <w:t xml:space="preserve"> 4 MM </w:t>
      </w:r>
    </w:p>
    <w:p w14:paraId="1988E961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Materiał: S235JRC+N</w:t>
      </w:r>
    </w:p>
    <w:p w14:paraId="346DDF9E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Norma:  PN-EN 10025-2:2019-11 , PN-EN 10051:2011</w:t>
      </w:r>
    </w:p>
    <w:p w14:paraId="76287EC5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Stan powierzchni: B3 wg. PN-EN 10163-2:2007</w:t>
      </w:r>
    </w:p>
    <w:p w14:paraId="0A944B9F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FORMAT: 1500 X 3000 MM;</w:t>
      </w:r>
    </w:p>
    <w:p w14:paraId="7625D692" w14:textId="28E630E0" w:rsidR="00905474" w:rsidRDefault="003F665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ilość: 4</w:t>
      </w:r>
      <w:r w:rsidR="00905474" w:rsidRPr="00905474">
        <w:rPr>
          <w:color w:val="000000" w:themeColor="text1"/>
        </w:rPr>
        <w:t xml:space="preserve"> arkusz</w:t>
      </w:r>
      <w:r w:rsidR="00905474">
        <w:rPr>
          <w:color w:val="000000" w:themeColor="text1"/>
        </w:rPr>
        <w:t>e</w:t>
      </w:r>
    </w:p>
    <w:p w14:paraId="1E752248" w14:textId="5E7FC1DE" w:rsidR="0030001F" w:rsidRPr="0030001F" w:rsidRDefault="0030001F" w:rsidP="0030001F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57125AB9" w14:textId="77777777" w:rsidR="00905474" w:rsidRPr="00916978" w:rsidRDefault="00905474" w:rsidP="00905474">
      <w:pPr>
        <w:pStyle w:val="Akapitzlist"/>
        <w:numPr>
          <w:ilvl w:val="1"/>
          <w:numId w:val="30"/>
        </w:numPr>
        <w:jc w:val="both"/>
        <w:rPr>
          <w:b/>
          <w:color w:val="000000" w:themeColor="text1"/>
        </w:rPr>
      </w:pPr>
      <w:r w:rsidRPr="00916978">
        <w:rPr>
          <w:b/>
          <w:color w:val="000000" w:themeColor="text1"/>
        </w:rPr>
        <w:t xml:space="preserve">Blacha  walcowana na  gorąco ze stali niestopowych </w:t>
      </w:r>
      <w:r w:rsidR="00852313" w:rsidRPr="00916978">
        <w:rPr>
          <w:b/>
          <w:color w:val="000000" w:themeColor="text1"/>
        </w:rPr>
        <w:t xml:space="preserve">3 MM </w:t>
      </w:r>
    </w:p>
    <w:p w14:paraId="6A26B2EF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Materiał: S235JRC+N</w:t>
      </w:r>
    </w:p>
    <w:p w14:paraId="69AB6C1D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Norma:  PN-EN 10025-2:2019-11 , PN-EN 10051:2011</w:t>
      </w:r>
    </w:p>
    <w:p w14:paraId="705F86F3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Stan powierzchni: B3 wg. PN-EN 10163-2:2007</w:t>
      </w:r>
    </w:p>
    <w:p w14:paraId="1BC90021" w14:textId="77777777" w:rsidR="00905474" w:rsidRPr="00905474" w:rsidRDefault="0090547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 w:rsidRPr="00905474">
        <w:rPr>
          <w:color w:val="000000" w:themeColor="text1"/>
        </w:rPr>
        <w:t>FORMAT: 1500 X 3000 MM;</w:t>
      </w:r>
    </w:p>
    <w:p w14:paraId="1161A5EA" w14:textId="39632B4B" w:rsidR="00905474" w:rsidRDefault="003F6654" w:rsidP="00905474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ilość: 1</w:t>
      </w:r>
      <w:r w:rsidR="00905474" w:rsidRPr="00905474">
        <w:rPr>
          <w:color w:val="000000" w:themeColor="text1"/>
        </w:rPr>
        <w:t xml:space="preserve"> arkusz</w:t>
      </w:r>
    </w:p>
    <w:p w14:paraId="663D4EAB" w14:textId="4B5EC4F9" w:rsidR="0030001F" w:rsidRPr="0030001F" w:rsidRDefault="0030001F" w:rsidP="0030001F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r>
        <w:rPr>
          <w:color w:val="000000" w:themeColor="text1"/>
        </w:rPr>
        <w:t>wymagany certyfikat atestu 3.1</w:t>
      </w:r>
    </w:p>
    <w:p w14:paraId="0D818E1C" w14:textId="77777777" w:rsidR="00E913EE" w:rsidRPr="00E913EE" w:rsidRDefault="00E913EE" w:rsidP="00E913EE">
      <w:pPr>
        <w:pStyle w:val="Akapitzlist"/>
        <w:jc w:val="both"/>
        <w:rPr>
          <w:color w:val="000000" w:themeColor="text1"/>
        </w:rPr>
      </w:pPr>
    </w:p>
    <w:p w14:paraId="6596E838" w14:textId="77777777" w:rsidR="000C73E8" w:rsidRDefault="000C73E8" w:rsidP="00C56C8B">
      <w:pPr>
        <w:spacing w:after="0"/>
        <w:jc w:val="both"/>
      </w:pPr>
    </w:p>
    <w:p w14:paraId="63A8DB5C" w14:textId="68FA4E33" w:rsidR="00F87E5B" w:rsidRDefault="00F87E5B" w:rsidP="00C56C8B">
      <w:pPr>
        <w:spacing w:after="0"/>
        <w:jc w:val="both"/>
      </w:pPr>
      <w:r>
        <w:t>Jakiekolwiek sformułowania użyte do opisu Przedmiotu Zamówienia mogące wskazywać na konkretnego producenta/dostawcę użyte zostały tylko i wyłączne w celu określenia minimalnych wymagań technicznych jakich wobec Przedmiotu Zamówienia oczekuje Zamawiający.</w:t>
      </w:r>
    </w:p>
    <w:p w14:paraId="5FF4328F" w14:textId="77777777" w:rsidR="00F87E5B" w:rsidRDefault="00F87E5B" w:rsidP="00F87E5B">
      <w:pPr>
        <w:spacing w:after="0"/>
      </w:pPr>
    </w:p>
    <w:p w14:paraId="3FA02BC2" w14:textId="3644857F" w:rsidR="00F87E5B" w:rsidRPr="00915ADE" w:rsidRDefault="00F87E5B" w:rsidP="00C56C8B">
      <w:pPr>
        <w:spacing w:after="0"/>
        <w:jc w:val="both"/>
      </w:pPr>
      <w:r>
        <w:t>Ilekroć w treści Zapytania Ofertowego Zamawiający wskazuje na znaki towarowe, patenty lub pochodzenie produktów, tylekroć Zamawiający dopuszcza zaoferowanie rozwiązań równoważnych, które będą tożsame lub nie gorsze pod względem parametrów technicznych i funkcjonalności od wymienionego przez Zamawiającego z nazwy asortymentu.</w:t>
      </w:r>
    </w:p>
    <w:p w14:paraId="759224E0" w14:textId="77777777" w:rsidR="00AA7BD0" w:rsidRDefault="00AA7BD0" w:rsidP="005B7A62">
      <w:pPr>
        <w:spacing w:after="0"/>
        <w:jc w:val="both"/>
        <w:rPr>
          <w:b/>
        </w:rPr>
      </w:pPr>
    </w:p>
    <w:p w14:paraId="3A78B9C9" w14:textId="77777777" w:rsidR="0055160E" w:rsidRPr="006828F5" w:rsidRDefault="0055160E" w:rsidP="0055160E">
      <w:pPr>
        <w:rPr>
          <w:b/>
        </w:rPr>
      </w:pPr>
      <w:r w:rsidRPr="006828F5">
        <w:rPr>
          <w:b/>
        </w:rPr>
        <w:t xml:space="preserve">V. </w:t>
      </w:r>
      <w:r>
        <w:rPr>
          <w:b/>
        </w:rPr>
        <w:t>Warunki jakie musi spełnić oferent:</w:t>
      </w:r>
    </w:p>
    <w:p w14:paraId="447C325B" w14:textId="77777777" w:rsidR="0055160E" w:rsidRPr="004916C9" w:rsidRDefault="0055160E" w:rsidP="0055160E">
      <w:pPr>
        <w:rPr>
          <w:rFonts w:ascii="Calibri" w:eastAsia="Calibri" w:hAnsi="Calibri" w:cs="Times New Roman"/>
          <w:b/>
          <w:bCs/>
          <w:noProof w:val="0"/>
        </w:rPr>
      </w:pPr>
      <w:r w:rsidRPr="008366AC">
        <w:rPr>
          <w:rFonts w:ascii="Calibri" w:eastAsia="Calibri" w:hAnsi="Calibri" w:cs="Times New Roman"/>
          <w:b/>
          <w:bCs/>
          <w:noProof w:val="0"/>
        </w:rPr>
        <w:t>Uprawnienia do wykonywania określonej działalności lub czynności</w:t>
      </w:r>
      <w:r>
        <w:rPr>
          <w:rFonts w:ascii="Calibri" w:eastAsia="Calibri" w:hAnsi="Calibri" w:cs="Times New Roman"/>
          <w:b/>
          <w:bCs/>
          <w:noProof w:val="0"/>
        </w:rPr>
        <w:t>:</w:t>
      </w:r>
      <w:bookmarkStart w:id="0" w:name="_Hlk47704969"/>
    </w:p>
    <w:p w14:paraId="049F7076" w14:textId="77777777" w:rsidR="00A93FF3" w:rsidRPr="001B7A41" w:rsidRDefault="0055160E" w:rsidP="0055160E">
      <w:pPr>
        <w:pStyle w:val="Akapitzlist"/>
        <w:numPr>
          <w:ilvl w:val="0"/>
          <w:numId w:val="9"/>
        </w:numPr>
        <w:jc w:val="both"/>
        <w:rPr>
          <w:rFonts w:ascii="Calibri" w:eastAsia="Calibri" w:hAnsi="Calibri" w:cs="Times New Roman"/>
          <w:noProof w:val="0"/>
        </w:rPr>
      </w:pPr>
      <w:r w:rsidRPr="001B7A41">
        <w:rPr>
          <w:rFonts w:ascii="Calibri" w:eastAsia="Calibri" w:hAnsi="Calibri" w:cs="Times New Roman"/>
          <w:noProof w:val="0"/>
        </w:rPr>
        <w:t xml:space="preserve">O udzielenie Zamówienia mogą ubiegać się Oferenci, którzy Posiadają wymagane przepisami uprawnienia do wykonania zamówienia. </w:t>
      </w:r>
    </w:p>
    <w:p w14:paraId="5B564E6E" w14:textId="25FF776E" w:rsidR="00A93FF3" w:rsidRPr="001B7A41" w:rsidRDefault="00A93FF3" w:rsidP="00A93FF3">
      <w:pPr>
        <w:pStyle w:val="Akapitzlist"/>
        <w:ind w:left="1080"/>
        <w:jc w:val="both"/>
      </w:pPr>
      <w:bookmarkStart w:id="1" w:name="_Hlk47953416"/>
      <w:bookmarkStart w:id="2" w:name="_Hlk47691595"/>
      <w:r w:rsidRPr="001B7A41">
        <w:rPr>
          <w:rFonts w:ascii="Calibri" w:eastAsia="Calibri" w:hAnsi="Calibri" w:cs="Times New Roman"/>
          <w:noProof w:val="0"/>
        </w:rPr>
        <w:t xml:space="preserve">Zamawiający dokona oceny spełniania przez Wykonawcę wyżej wskazanego warunku udziału w postępowaniu według formuły spełnia/nie spełnia, na podstawie </w:t>
      </w:r>
      <w:r w:rsidRPr="001B7A41">
        <w:t>podpisanego Oświadczenia stanowiącego integralną część Formularza Oferty.</w:t>
      </w:r>
    </w:p>
    <w:p w14:paraId="24D4CC0D" w14:textId="239C0A41" w:rsidR="0055160E" w:rsidRPr="001B7A41" w:rsidRDefault="0055160E" w:rsidP="0055160E">
      <w:pPr>
        <w:pStyle w:val="Akapitzlist"/>
        <w:numPr>
          <w:ilvl w:val="0"/>
          <w:numId w:val="9"/>
        </w:numPr>
        <w:jc w:val="both"/>
      </w:pPr>
      <w:r w:rsidRPr="001B7A41">
        <w:t>Oferent ubiegający się o realizację zamówienia zobligowany jest dopełnić obowiązków informacyjnych przewidzianych w art. 13 lub art. 14 RODO (Rozporządzenie Parlamentu Europejskiego i Rady (UE) 2016/679 z dnia 27 kwietnia 2016 r.) wobec osób fizycznych, od których dane osobowe bezpośrednio lub pośrednio pozyskał w celu ubiegania się o udzielenie zamówienia w niniejszym postępowaniu.</w:t>
      </w:r>
      <w:r w:rsidR="00D9266A" w:rsidRPr="001B7A41">
        <w:t xml:space="preserve"> Klauzula informacyjna z art. 13 lub art. 14 RODO stanowi Załącznik nr 2 do niniejszego Zapytania ofertowego.</w:t>
      </w:r>
    </w:p>
    <w:p w14:paraId="2DA20898" w14:textId="66937C73" w:rsidR="006F084F" w:rsidRPr="001B7A41" w:rsidRDefault="006F084F" w:rsidP="006F084F">
      <w:pPr>
        <w:pStyle w:val="Akapitzlist"/>
        <w:ind w:left="1080"/>
        <w:jc w:val="both"/>
      </w:pPr>
      <w:r w:rsidRPr="001B7A41">
        <w:rPr>
          <w:rFonts w:ascii="Calibri" w:eastAsia="Calibri" w:hAnsi="Calibri" w:cs="Times New Roman"/>
          <w:noProof w:val="0"/>
        </w:rPr>
        <w:t xml:space="preserve">Zamawiający dokona oceny spełniania przez Wykonawcę wyżej wskazanego warunku udziału w postępowaniu według formuły spełnia/nie spełnia, na podstawie </w:t>
      </w:r>
      <w:r w:rsidRPr="001B7A41">
        <w:t>podpisanego Oświadczenia stanowiącego integralną część Formularza Oferty.</w:t>
      </w:r>
    </w:p>
    <w:p w14:paraId="76577C3B" w14:textId="4121BB6E" w:rsidR="003D609A" w:rsidRPr="001B7A41" w:rsidRDefault="00E451E3" w:rsidP="0055160E">
      <w:pPr>
        <w:pStyle w:val="Akapitzlist"/>
        <w:numPr>
          <w:ilvl w:val="0"/>
          <w:numId w:val="9"/>
        </w:numPr>
        <w:jc w:val="both"/>
      </w:pPr>
      <w:r w:rsidRPr="001B7A41">
        <w:t xml:space="preserve">Oferent ubiegający się o realizację zamówienia musi znajdować </w:t>
      </w:r>
      <w:r w:rsidRPr="001B7A41">
        <w:rPr>
          <w:rFonts w:eastAsia="Times New Roman" w:cs="Arial"/>
          <w:color w:val="000000"/>
        </w:rPr>
        <w:t>się w sytuacji ekonomicznej i finansowej zapewniającej należyte wykonanie zamówienia.</w:t>
      </w:r>
    </w:p>
    <w:p w14:paraId="4620331E" w14:textId="71C8F02B" w:rsidR="0080759D" w:rsidRPr="001B7A41" w:rsidRDefault="0080759D" w:rsidP="0080759D">
      <w:pPr>
        <w:pStyle w:val="Akapitzlist"/>
        <w:ind w:left="1080"/>
        <w:jc w:val="both"/>
      </w:pPr>
      <w:r w:rsidRPr="001B7A41">
        <w:rPr>
          <w:rFonts w:ascii="Calibri" w:eastAsia="Calibri" w:hAnsi="Calibri" w:cs="Times New Roman"/>
          <w:noProof w:val="0"/>
        </w:rPr>
        <w:t xml:space="preserve">Zamawiający dokona oceny spełniania przez Wykonawcę wyżej wskazanego warunku udziału w postępowaniu według formuły spełnia/nie spełnia, na podstawie </w:t>
      </w:r>
      <w:r w:rsidRPr="001B7A41">
        <w:t>podpisanego Oświadczenia stanowiącego integralną część Formularza Oferty.</w:t>
      </w:r>
    </w:p>
    <w:p w14:paraId="12A4CD24" w14:textId="77777777" w:rsidR="0055160E" w:rsidRPr="001B7A41" w:rsidRDefault="0055160E" w:rsidP="0055160E">
      <w:pPr>
        <w:pStyle w:val="Akapitzlist"/>
        <w:numPr>
          <w:ilvl w:val="0"/>
          <w:numId w:val="9"/>
        </w:numPr>
        <w:jc w:val="both"/>
      </w:pPr>
      <w:r w:rsidRPr="001B7A41">
        <w:t>Oferent ubiegający się o realizację zamówienia nie może być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dostawcą, polegające w szczególności na:</w:t>
      </w:r>
    </w:p>
    <w:p w14:paraId="575E9D51" w14:textId="77777777" w:rsidR="0055160E" w:rsidRPr="001B7A41" w:rsidRDefault="0055160E" w:rsidP="0055160E">
      <w:pPr>
        <w:pStyle w:val="Akapitzlist"/>
        <w:numPr>
          <w:ilvl w:val="1"/>
          <w:numId w:val="9"/>
        </w:numPr>
        <w:jc w:val="both"/>
      </w:pPr>
      <w:r w:rsidRPr="001B7A41">
        <w:t>Uczestniczeniu w spółce jako wspólnik spółki cywilnej lub spółki osobowej,</w:t>
      </w:r>
    </w:p>
    <w:p w14:paraId="63C611F4" w14:textId="77777777" w:rsidR="0055160E" w:rsidRPr="001B7A41" w:rsidRDefault="0055160E" w:rsidP="0055160E">
      <w:pPr>
        <w:pStyle w:val="Akapitzlist"/>
        <w:numPr>
          <w:ilvl w:val="1"/>
          <w:numId w:val="9"/>
        </w:numPr>
        <w:jc w:val="both"/>
      </w:pPr>
      <w:r w:rsidRPr="001B7A41">
        <w:t>Posiadaniu co najmniej 10% udziałów lub akcji,</w:t>
      </w:r>
    </w:p>
    <w:p w14:paraId="40AB9C33" w14:textId="77777777" w:rsidR="0055160E" w:rsidRPr="001B7A41" w:rsidRDefault="0055160E" w:rsidP="0055160E">
      <w:pPr>
        <w:pStyle w:val="Akapitzlist"/>
        <w:numPr>
          <w:ilvl w:val="1"/>
          <w:numId w:val="9"/>
        </w:numPr>
        <w:jc w:val="both"/>
      </w:pPr>
      <w:r w:rsidRPr="001B7A41">
        <w:t>Pełnieniu funkcji członka organu nadzorczego lub zarządzającego, prokurenta, pełnomocnika,</w:t>
      </w:r>
    </w:p>
    <w:p w14:paraId="48BCC650" w14:textId="4647005B" w:rsidR="00426848" w:rsidRPr="001B7A41" w:rsidRDefault="0055160E" w:rsidP="00426848">
      <w:pPr>
        <w:pStyle w:val="Akapitzlist"/>
        <w:numPr>
          <w:ilvl w:val="1"/>
          <w:numId w:val="9"/>
        </w:numPr>
        <w:jc w:val="both"/>
      </w:pPr>
      <w:r w:rsidRPr="001B7A41">
        <w:t>Pozostawaniu w związku małżeńskim, w stopniu pokrewieństwa lub powinowactwa w linii prostej, pokrewieństwa drugiego stopnia lub powinowactwa drugiego stopnia w linii bocznej lub w stosunku przysposobienia, opieki lub kurateli.</w:t>
      </w:r>
    </w:p>
    <w:p w14:paraId="2CE578EE" w14:textId="6D85693F" w:rsidR="00426848" w:rsidRDefault="00426848" w:rsidP="0080759D">
      <w:pPr>
        <w:pStyle w:val="Akapitzlist"/>
        <w:ind w:left="1080"/>
        <w:jc w:val="both"/>
      </w:pPr>
      <w:r w:rsidRPr="001B7A41">
        <w:rPr>
          <w:rFonts w:ascii="Calibri" w:eastAsia="Calibri" w:hAnsi="Calibri" w:cs="Times New Roman"/>
          <w:noProof w:val="0"/>
        </w:rPr>
        <w:t xml:space="preserve">Zamawiający dokona oceny spełniania przez Wykonawcę wyżej wskazanego warunku udziału w postępowaniu według formuły spełnia/nie spełnia, na podstawie </w:t>
      </w:r>
      <w:r w:rsidRPr="001B7A41">
        <w:t xml:space="preserve">podpisanego Oświadczenia o braku powiązań osobowych lub kapitałowych z Zamawiającym, stanowiącym Załącznik nr </w:t>
      </w:r>
      <w:r w:rsidR="00336774" w:rsidRPr="001B7A41">
        <w:t>3</w:t>
      </w:r>
      <w:r w:rsidRPr="001B7A41">
        <w:t xml:space="preserve"> do niniejszego Zapytania ofertowego.</w:t>
      </w:r>
    </w:p>
    <w:p w14:paraId="32238468" w14:textId="754DEC97" w:rsidR="009D2160" w:rsidRPr="001B7A41" w:rsidRDefault="009D2160" w:rsidP="000A5EB8">
      <w:pPr>
        <w:pStyle w:val="Akapitzlist"/>
        <w:ind w:left="1080"/>
        <w:jc w:val="both"/>
      </w:pPr>
    </w:p>
    <w:bookmarkEnd w:id="0"/>
    <w:bookmarkEnd w:id="1"/>
    <w:bookmarkEnd w:id="2"/>
    <w:p w14:paraId="159182AB" w14:textId="77777777" w:rsidR="001B0AD3" w:rsidRPr="00597C96" w:rsidRDefault="001B0AD3" w:rsidP="001B0AD3">
      <w:pPr>
        <w:pStyle w:val="Akapitzlist"/>
        <w:ind w:left="1080"/>
        <w:jc w:val="both"/>
      </w:pPr>
    </w:p>
    <w:p w14:paraId="4CD2775D" w14:textId="77777777" w:rsidR="0055160E" w:rsidRDefault="0055160E" w:rsidP="0055160E">
      <w:pPr>
        <w:rPr>
          <w:b/>
        </w:rPr>
      </w:pPr>
      <w:r w:rsidRPr="00597C96">
        <w:rPr>
          <w:b/>
        </w:rPr>
        <w:t xml:space="preserve">VI. OPIS KRYTERIÓW OCENY OFERT </w:t>
      </w:r>
    </w:p>
    <w:p w14:paraId="4139FCFB" w14:textId="77777777" w:rsidR="0055160E" w:rsidRDefault="0055160E" w:rsidP="00D81540">
      <w:pPr>
        <w:jc w:val="both"/>
      </w:pPr>
      <w:r>
        <w:t xml:space="preserve">1. Wszystkie oferty jakie wpłyną do Zamawiającego w odpowiedzi na Zapytanie Ofertowe zostaną poddane weryfikacji pod kątem zgodności z Przedmiotem Zamówienia. Oferta, która nie będzie zgodna </w:t>
      </w:r>
      <w:r>
        <w:lastRenderedPageBreak/>
        <w:t>z przedmiotem zamówienia oraz jego parametrami minimalnymi lub taka która zostanie przedstawiona w formie uniemożliwiającej weryfikację tych informacji, zostanie odrzucona jako niezgodna z Przedmiotem Zamówienia.</w:t>
      </w:r>
    </w:p>
    <w:p w14:paraId="68AB0CFC" w14:textId="77777777" w:rsidR="0055160E" w:rsidRDefault="0055160E" w:rsidP="00D81540">
      <w:pPr>
        <w:jc w:val="both"/>
      </w:pPr>
      <w:r>
        <w:t>2. Zamawiający dokona oceny punktowej ofert, które:</w:t>
      </w:r>
    </w:p>
    <w:p w14:paraId="051E1DA8" w14:textId="77777777" w:rsidR="0055160E" w:rsidRDefault="0055160E" w:rsidP="00D81540">
      <w:pPr>
        <w:jc w:val="both"/>
      </w:pPr>
      <w:r>
        <w:t>a) zostały złożone w terminie,</w:t>
      </w:r>
    </w:p>
    <w:p w14:paraId="6F645E0A" w14:textId="77777777" w:rsidR="0055160E" w:rsidRDefault="0055160E" w:rsidP="00D81540">
      <w:pPr>
        <w:jc w:val="both"/>
      </w:pPr>
      <w:r>
        <w:t>b) są kompletne i prawidłowo wypełnione,</w:t>
      </w:r>
    </w:p>
    <w:p w14:paraId="7878A5AF" w14:textId="77777777" w:rsidR="0055160E" w:rsidRDefault="0055160E" w:rsidP="00D81540">
      <w:pPr>
        <w:jc w:val="both"/>
      </w:pPr>
      <w:r>
        <w:t>c) są zgodne z Przedmiotem Zamówienia,</w:t>
      </w:r>
    </w:p>
    <w:p w14:paraId="477914BF" w14:textId="77777777" w:rsidR="0055160E" w:rsidRPr="00597C96" w:rsidRDefault="0055160E" w:rsidP="00D81540">
      <w:pPr>
        <w:jc w:val="both"/>
      </w:pPr>
      <w:r>
        <w:t>d</w:t>
      </w:r>
      <w:r w:rsidRPr="00597C96">
        <w:t>) Zamawiający stwierdzi spełnienie przez Oferenta wymagań w zakresie doświadczenia i potencjału zgodnie z zapisami pkt. „</w:t>
      </w:r>
      <w:r>
        <w:t xml:space="preserve">V. </w:t>
      </w:r>
      <w:r w:rsidRPr="00597C96">
        <w:t xml:space="preserve">Warunki </w:t>
      </w:r>
      <w:r>
        <w:t>jakie musi spełnić oferent</w:t>
      </w:r>
      <w:r w:rsidRPr="00597C96">
        <w:t>”.</w:t>
      </w:r>
    </w:p>
    <w:p w14:paraId="0B1DCC11" w14:textId="0DA5E0FF" w:rsidR="0055160E" w:rsidRDefault="0055160E" w:rsidP="00D81540">
      <w:pPr>
        <w:jc w:val="both"/>
      </w:pPr>
      <w:r>
        <w:t xml:space="preserve">3. </w:t>
      </w:r>
      <w:r w:rsidR="004A6BCB" w:rsidRPr="004A6BCB">
        <w:t>Ocena punktowa ofert każdej części zostanie dokonana na podstawie poniższych kryteriów</w:t>
      </w:r>
      <w:r>
        <w:t>:</w:t>
      </w:r>
    </w:p>
    <w:p w14:paraId="112A5224" w14:textId="5AEB770C" w:rsidR="0055160E" w:rsidRDefault="0055160E" w:rsidP="00D81540">
      <w:pPr>
        <w:jc w:val="both"/>
        <w:rPr>
          <w:b/>
        </w:rPr>
      </w:pPr>
      <w:r>
        <w:rPr>
          <w:b/>
        </w:rPr>
        <w:t xml:space="preserve">Kryterium I – Cena (maksymalna ilość punktów = </w:t>
      </w:r>
      <w:r w:rsidR="00951590">
        <w:rPr>
          <w:b/>
        </w:rPr>
        <w:t>10</w:t>
      </w:r>
      <w:r w:rsidR="001B0AD3">
        <w:rPr>
          <w:b/>
        </w:rPr>
        <w:t>0</w:t>
      </w:r>
      <w:r>
        <w:rPr>
          <w:b/>
        </w:rPr>
        <w:t>)</w:t>
      </w:r>
    </w:p>
    <w:p w14:paraId="222411E1" w14:textId="23EB8575" w:rsidR="00CE5361" w:rsidRDefault="0055160E" w:rsidP="00D81540">
      <w:pPr>
        <w:jc w:val="both"/>
      </w:pPr>
      <w:r>
        <w:t xml:space="preserve">W kryterium I - Cena - Waga kryterium </w:t>
      </w:r>
      <w:r w:rsidR="00FA359A">
        <w:t>100</w:t>
      </w:r>
      <w:r>
        <w:t>%. Maksymalnie do uz</w:t>
      </w:r>
      <w:r w:rsidR="00951590">
        <w:t>yskania w ramach kryterium jest 10</w:t>
      </w:r>
      <w:r w:rsidR="001B0AD3">
        <w:t>0</w:t>
      </w:r>
      <w:r>
        <w:t xml:space="preserve"> pkt. Najwyższą liczbę punktów (</w:t>
      </w:r>
      <w:r w:rsidR="00951590">
        <w:t>10</w:t>
      </w:r>
      <w:r w:rsidR="001B0AD3">
        <w:t>0</w:t>
      </w:r>
      <w:r>
        <w:t>) otrzyma oferta zawierająca najniższą cenę brutto</w:t>
      </w:r>
      <w:r w:rsidR="00CE5361">
        <w:t>.</w:t>
      </w:r>
      <w:r>
        <w:t xml:space="preserve"> </w:t>
      </w:r>
    </w:p>
    <w:p w14:paraId="1F9DD7C4" w14:textId="377517F0" w:rsidR="0055160E" w:rsidRDefault="0055160E" w:rsidP="00D81540">
      <w:pPr>
        <w:jc w:val="both"/>
      </w:pPr>
      <w:r>
        <w:t>Sposób wyliczenia punktów:</w:t>
      </w:r>
    </w:p>
    <w:p w14:paraId="056B45E2" w14:textId="0258991C" w:rsidR="0055160E" w:rsidRDefault="0055160E" w:rsidP="00D81540">
      <w:pPr>
        <w:jc w:val="both"/>
      </w:pPr>
      <w:r>
        <w:t xml:space="preserve">(C/Cx) x </w:t>
      </w:r>
      <w:r w:rsidR="003E7EFB">
        <w:t xml:space="preserve">100x </w:t>
      </w:r>
      <w:r w:rsidR="00951590">
        <w:t>10</w:t>
      </w:r>
      <w:r>
        <w:t>0</w:t>
      </w:r>
      <w:r w:rsidR="009D2160">
        <w:t>%</w:t>
      </w:r>
      <w:r>
        <w:t xml:space="preserve"> = wynik oferty w ramach Kryterium I</w:t>
      </w:r>
    </w:p>
    <w:p w14:paraId="7F64B41B" w14:textId="77777777" w:rsidR="0055160E" w:rsidRDefault="0055160E" w:rsidP="00D81540">
      <w:pPr>
        <w:jc w:val="both"/>
      </w:pPr>
      <w:r>
        <w:t>Gdzie:</w:t>
      </w:r>
    </w:p>
    <w:p w14:paraId="555E7B2D" w14:textId="374B64B2" w:rsidR="0055160E" w:rsidRDefault="0055160E" w:rsidP="00D81540">
      <w:pPr>
        <w:spacing w:after="0"/>
        <w:jc w:val="both"/>
      </w:pPr>
      <w:r>
        <w:t xml:space="preserve">C </w:t>
      </w:r>
      <w:r w:rsidR="00AD0976">
        <w:t>-</w:t>
      </w:r>
      <w:r>
        <w:t xml:space="preserve"> Najniższa oferowana cena brutto</w:t>
      </w:r>
    </w:p>
    <w:p w14:paraId="24A8417E" w14:textId="05935678" w:rsidR="0055160E" w:rsidRDefault="0055160E" w:rsidP="00D81540">
      <w:pPr>
        <w:spacing w:after="0"/>
        <w:jc w:val="both"/>
      </w:pPr>
      <w:r>
        <w:t xml:space="preserve">Cx </w:t>
      </w:r>
      <w:r w:rsidR="00AD0976">
        <w:t>-</w:t>
      </w:r>
      <w:r>
        <w:t xml:space="preserve"> Cena brutto w rozpatrywanej ofercie</w:t>
      </w:r>
    </w:p>
    <w:p w14:paraId="13F5183D" w14:textId="77777777" w:rsidR="00AD0976" w:rsidRDefault="00AD0976" w:rsidP="00BE4DFD">
      <w:pPr>
        <w:jc w:val="both"/>
      </w:pPr>
    </w:p>
    <w:p w14:paraId="3AC2AEA8" w14:textId="45777CA1" w:rsidR="003F2108" w:rsidRDefault="006C74BA" w:rsidP="00BE4DFD">
      <w:pPr>
        <w:jc w:val="both"/>
      </w:pPr>
      <w:r w:rsidRPr="006C74BA">
        <w:t>Za najkorzystniejszą zostanie uznana oferta, która uzyska najwyższą końcową ocenę. Punkty będą naliczane z dokładnością do dwóch miejsc po przecinku</w:t>
      </w:r>
      <w:r w:rsidR="003F2108">
        <w:t xml:space="preserve"> wg poniższego wzoru:</w:t>
      </w:r>
    </w:p>
    <w:p w14:paraId="5EA6D5C9" w14:textId="576C4107" w:rsidR="003F2108" w:rsidRDefault="003F2108" w:rsidP="00BE4DFD">
      <w:pPr>
        <w:jc w:val="both"/>
      </w:pPr>
      <w:r>
        <w:t>L</w:t>
      </w:r>
      <w:r w:rsidR="000054B5">
        <w:t xml:space="preserve">iczba </w:t>
      </w:r>
      <w:r>
        <w:t>P</w:t>
      </w:r>
      <w:r w:rsidR="000054B5">
        <w:t>unktów</w:t>
      </w:r>
      <w:r>
        <w:t xml:space="preserve">= </w:t>
      </w:r>
      <w:r w:rsidR="000054B5">
        <w:t xml:space="preserve">Kryterium I </w:t>
      </w:r>
      <w:r w:rsidR="00062A50">
        <w:t xml:space="preserve">Cena </w:t>
      </w:r>
    </w:p>
    <w:p w14:paraId="5CD2DDA9" w14:textId="149DA759" w:rsidR="000054B5" w:rsidRDefault="000054B5" w:rsidP="00BE4DFD">
      <w:pPr>
        <w:jc w:val="both"/>
      </w:pPr>
      <w:r w:rsidRPr="000054B5">
        <w:t>Łą</w:t>
      </w:r>
      <w:r w:rsidR="00951590">
        <w:t xml:space="preserve">czna maksymalna liczba punktów </w:t>
      </w:r>
      <w:r w:rsidRPr="000054B5">
        <w:t>100 punktów.</w:t>
      </w:r>
    </w:p>
    <w:p w14:paraId="4E8F4DE2" w14:textId="660CE5B7" w:rsidR="0055160E" w:rsidRDefault="001B0AD3" w:rsidP="00D81540">
      <w:pPr>
        <w:jc w:val="both"/>
      </w:pPr>
      <w:r>
        <w:t>4</w:t>
      </w:r>
      <w:r w:rsidR="0055160E">
        <w:t>. W ofercie należy odnieść się do wszystkich kryteriów wyboru oferty.</w:t>
      </w:r>
    </w:p>
    <w:p w14:paraId="6AABB223" w14:textId="28CE4C12" w:rsidR="0055160E" w:rsidRDefault="001B0AD3" w:rsidP="00D81540">
      <w:pPr>
        <w:jc w:val="both"/>
      </w:pPr>
      <w:r>
        <w:t>5</w:t>
      </w:r>
      <w:r w:rsidR="0055160E">
        <w:t>. W postępowaniu ofertowym zwycięży Oferent, który zdobęd</w:t>
      </w:r>
      <w:r w:rsidR="00AB0B3C">
        <w:t>zie</w:t>
      </w:r>
      <w:r w:rsidR="0055160E">
        <w:t xml:space="preserve"> najwyższą liczbę punktów</w:t>
      </w:r>
      <w:r w:rsidR="00AB0B3C">
        <w:t xml:space="preserve"> w danej części</w:t>
      </w:r>
      <w:r w:rsidR="0055160E">
        <w:t>.</w:t>
      </w:r>
    </w:p>
    <w:p w14:paraId="550B8F6C" w14:textId="77777777" w:rsidR="004A6BCB" w:rsidRDefault="001B0AD3" w:rsidP="00D81540">
      <w:pPr>
        <w:jc w:val="both"/>
      </w:pPr>
      <w:r>
        <w:t>6</w:t>
      </w:r>
      <w:r w:rsidR="0055160E">
        <w:t>. Nie dopuszcza się składania ofert wariantowych</w:t>
      </w:r>
      <w:r w:rsidR="004A6BCB">
        <w:t>.</w:t>
      </w:r>
    </w:p>
    <w:p w14:paraId="757A0558" w14:textId="2FC42687" w:rsidR="0055160E" w:rsidRDefault="004A6BCB" w:rsidP="00D81540">
      <w:pPr>
        <w:jc w:val="both"/>
      </w:pPr>
      <w:r>
        <w:t>7. Dopuszcza się składanie</w:t>
      </w:r>
      <w:r w:rsidR="0055160E">
        <w:t xml:space="preserve"> ofert częściowych.</w:t>
      </w:r>
    </w:p>
    <w:p w14:paraId="652BFB8D" w14:textId="0A1E0B12" w:rsidR="0055160E" w:rsidRDefault="004A6BCB" w:rsidP="00D81540">
      <w:pPr>
        <w:jc w:val="both"/>
      </w:pPr>
      <w:r>
        <w:t>8</w:t>
      </w:r>
      <w:r w:rsidR="0055160E">
        <w:t>. Wszystkie dodatkowe koszty związane ze złożeniem oferty leżą po stronie Oferenta.</w:t>
      </w:r>
    </w:p>
    <w:p w14:paraId="2F71EE9F" w14:textId="0DDB17FD" w:rsidR="0055160E" w:rsidRDefault="004A6BCB" w:rsidP="0055160E">
      <w:pPr>
        <w:jc w:val="both"/>
      </w:pPr>
      <w:r>
        <w:t>9</w:t>
      </w:r>
      <w:r w:rsidR="0055160E">
        <w:t>. Oferenci uczestniczą w postępowaniu ofertowym na własne ryzyko i koszt, nie przysługują im żadne roszczenia z tytułu odstąpienia przez Zamawiającego od postępowania</w:t>
      </w:r>
      <w:r w:rsidR="00BE4DFD">
        <w:t>.</w:t>
      </w:r>
    </w:p>
    <w:p w14:paraId="40DC2241" w14:textId="77777777" w:rsidR="0055160E" w:rsidRDefault="0055160E" w:rsidP="0055160E">
      <w:pPr>
        <w:rPr>
          <w:b/>
        </w:rPr>
      </w:pPr>
      <w:r>
        <w:rPr>
          <w:b/>
        </w:rPr>
        <w:t>VII.SPOSÓB PRZYGOTOWANIA I SKŁADANIA OFERT</w:t>
      </w:r>
    </w:p>
    <w:p w14:paraId="581ADEF2" w14:textId="314B696C" w:rsidR="0055160E" w:rsidRP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 xml:space="preserve">Oferta winna być sporządzona zgodnie z zaleceniami opisanymi w Zapytaniu Ofertowym oraz przedstawionymi przez </w:t>
      </w:r>
      <w:r w:rsidR="00714CFD">
        <w:t>Z</w:t>
      </w:r>
      <w:r>
        <w:t xml:space="preserve">amawiającego wzorcami (załącznikami) oraz zawierać informacje i </w:t>
      </w:r>
      <w:r>
        <w:lastRenderedPageBreak/>
        <w:t xml:space="preserve">dane określone w tych dokumentach. Poprawki w ofercie (przekreślenie, przerobienie, </w:t>
      </w:r>
      <w:r w:rsidRPr="0055160E">
        <w:t>uzupełnienie, nadpisanie, dopisanie, użycie korektora itp.) muszą być naniesione czytelnie oraz opatrzone podpisem osoby / osób uprawnionych do reprezentowania Oferenta.</w:t>
      </w:r>
    </w:p>
    <w:p w14:paraId="19E7C0C2" w14:textId="77777777" w:rsidR="0055160E" w:rsidRPr="0055160E" w:rsidRDefault="0055160E" w:rsidP="0055160E">
      <w:pPr>
        <w:pStyle w:val="Akapitzlist"/>
        <w:numPr>
          <w:ilvl w:val="0"/>
          <w:numId w:val="11"/>
        </w:numPr>
        <w:jc w:val="both"/>
      </w:pPr>
      <w:r w:rsidRPr="0055160E">
        <w:t>Lista wymaganych dokumentów/oświadczeń:</w:t>
      </w:r>
    </w:p>
    <w:p w14:paraId="2263A5FA" w14:textId="535E80C6" w:rsidR="007215FE" w:rsidRDefault="007215FE" w:rsidP="007215FE">
      <w:pPr>
        <w:pStyle w:val="Akapitzlist"/>
        <w:numPr>
          <w:ilvl w:val="1"/>
          <w:numId w:val="11"/>
        </w:numPr>
        <w:jc w:val="both"/>
      </w:pPr>
      <w:r w:rsidRPr="00B20C74">
        <w:t>Formularz oferty (Załącznik nr 1)</w:t>
      </w:r>
    </w:p>
    <w:p w14:paraId="1BA93821" w14:textId="0D2E2D9E" w:rsidR="007215FE" w:rsidRDefault="007215FE" w:rsidP="007215FE">
      <w:pPr>
        <w:pStyle w:val="Akapitzlist"/>
        <w:numPr>
          <w:ilvl w:val="1"/>
          <w:numId w:val="11"/>
        </w:numPr>
        <w:jc w:val="both"/>
      </w:pPr>
      <w:r w:rsidRPr="00B20C74">
        <w:t>Oświadczenie o braku powiązań kapitałowych lub osobowych (Załącznik nr 3)</w:t>
      </w:r>
    </w:p>
    <w:p w14:paraId="3927E050" w14:textId="77777777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 xml:space="preserve">Oferty powinny być przygotowane w j. polskim i w walucie PLN. </w:t>
      </w:r>
    </w:p>
    <w:p w14:paraId="49D54031" w14:textId="1F99B326" w:rsidR="0055160E" w:rsidRPr="009E71DF" w:rsidRDefault="0055160E" w:rsidP="009E71DF">
      <w:pPr>
        <w:pStyle w:val="Akapitzlist"/>
        <w:numPr>
          <w:ilvl w:val="0"/>
          <w:numId w:val="11"/>
        </w:numPr>
        <w:jc w:val="both"/>
      </w:pPr>
      <w:r w:rsidRPr="009E71DF">
        <w:t xml:space="preserve">W ofercie należy odnieść się do wszystkich kryteriów wyboru oferty. W przypadku, gdy Oferent pominie jedno lub więcej kryteriów w ocenie tego kryterium zostanie mu przyznanych 0 punktów i oferta zostanie odrzucona. </w:t>
      </w:r>
      <w:r w:rsidR="009E71DF" w:rsidRPr="009E71DF">
        <w:t xml:space="preserve"> </w:t>
      </w:r>
    </w:p>
    <w:p w14:paraId="150C7D8E" w14:textId="34366284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>Oferta wraz z załącznikami musi być podpisana przez osoby uprawnione lub upoważnione do reprezentowania Oferenta. W przypadku gdy uprawnienie do reprezentacji oferenta nie wynika z ogólnodostępnych informacji (np. KRS, CEIDG), oferent zobowiązany jest do przedłożenia kopii dokumentu potwierdzającego uprawnienia do reprezentowania lub kopię dokumentu potwierdzającego fakt udzielania stosownego upoważnienia, którego oryginał zostanie zweryfikowany w momencie podpisania umowy z Oferentem.</w:t>
      </w:r>
    </w:p>
    <w:p w14:paraId="1B397DB1" w14:textId="40BEE0FF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>T</w:t>
      </w:r>
      <w:r w:rsidR="00905648">
        <w:t xml:space="preserve">ermin związania ofertą wynosi </w:t>
      </w:r>
      <w:r w:rsidR="003F6654">
        <w:t>30</w:t>
      </w:r>
      <w:r w:rsidRPr="000A5EB8">
        <w:t xml:space="preserve"> dni</w:t>
      </w:r>
      <w:r>
        <w:t xml:space="preserve"> kalendarzowych, bieg terminu związania ofertą rozpoczyna się wraz z upływem terminu składan</w:t>
      </w:r>
      <w:r w:rsidR="009E71DF">
        <w:t xml:space="preserve">ia ofert o którym mowa w </w:t>
      </w:r>
      <w:r w:rsidR="00892EDD">
        <w:t xml:space="preserve">części </w:t>
      </w:r>
      <w:r w:rsidR="009E71DF">
        <w:t xml:space="preserve">VII. </w:t>
      </w:r>
      <w:r w:rsidR="00892EDD">
        <w:t xml:space="preserve">pkt. </w:t>
      </w:r>
      <w:r w:rsidR="009E71DF">
        <w:t>1</w:t>
      </w:r>
      <w:r w:rsidR="008C499E">
        <w:t>1</w:t>
      </w:r>
      <w:r>
        <w:t>.</w:t>
      </w:r>
    </w:p>
    <w:p w14:paraId="07979F42" w14:textId="6DE8CF1F" w:rsidR="0055160E" w:rsidRPr="005F2EC5" w:rsidRDefault="0055160E" w:rsidP="0055160E">
      <w:pPr>
        <w:pStyle w:val="Akapitzlist"/>
        <w:numPr>
          <w:ilvl w:val="0"/>
          <w:numId w:val="11"/>
        </w:numPr>
        <w:jc w:val="both"/>
      </w:pPr>
      <w:r w:rsidRPr="005F2EC5">
        <w:t>Wartość oferty musi zostać przedstawiona w kwotach brutto.</w:t>
      </w:r>
    </w:p>
    <w:p w14:paraId="5EC5640B" w14:textId="77777777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>Żadne dokumenty wchodzące w skład oferty, w tym również te przedstawiane w formie oryginałów, nie podlegają zwrotowi przez Zamawiającego.</w:t>
      </w:r>
    </w:p>
    <w:p w14:paraId="559BD542" w14:textId="77777777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>Każdy Oferent może złożyć tylko jedną ofertę.</w:t>
      </w:r>
    </w:p>
    <w:p w14:paraId="565127F5" w14:textId="77777777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 xml:space="preserve"> Oferent może wprowadzić zmiany w złożonej ofercie lub ją wycofać pod warunkiem, że uczyni to przed upływem składania ofert.</w:t>
      </w:r>
    </w:p>
    <w:p w14:paraId="0276B9D3" w14:textId="77777777" w:rsidR="0055160E" w:rsidRDefault="0055160E" w:rsidP="0055160E">
      <w:pPr>
        <w:pStyle w:val="Akapitzlist"/>
        <w:numPr>
          <w:ilvl w:val="0"/>
          <w:numId w:val="11"/>
        </w:numPr>
        <w:jc w:val="both"/>
      </w:pPr>
      <w:r>
        <w:t xml:space="preserve"> Ofertę można dostarczyć zgodnie z jedną z dopuszczalnych form:</w:t>
      </w:r>
    </w:p>
    <w:p w14:paraId="1FC382A2" w14:textId="77777777" w:rsidR="0055160E" w:rsidRDefault="0055160E" w:rsidP="0055160E">
      <w:pPr>
        <w:jc w:val="both"/>
      </w:pPr>
      <w:r>
        <w:t>a) w formie pisemnej: za pośrednictwem poczty, kuriera lub złożyć osobiście na adres Zamawiającego (liczy się data wpływu do Zamawiającego):</w:t>
      </w:r>
    </w:p>
    <w:p w14:paraId="2A77566C" w14:textId="77777777" w:rsidR="0055160E" w:rsidRDefault="0055160E" w:rsidP="0055160E">
      <w:r>
        <w:t>Nazwa: NYBORG-MAWENT SPÓŁKA AKCYJNA</w:t>
      </w:r>
    </w:p>
    <w:p w14:paraId="3F3B4859" w14:textId="77777777" w:rsidR="0055160E" w:rsidRDefault="0055160E" w:rsidP="0055160E">
      <w:r>
        <w:t>Adres Siedziby: woj. POMORSKIE, pow. malborski, gm. Malbork, miejsc. Malbork, ul. Ciepła 6, 82-200, poczta Malbork</w:t>
      </w:r>
    </w:p>
    <w:p w14:paraId="60535360" w14:textId="68DC2888" w:rsidR="0055160E" w:rsidRPr="002B0756" w:rsidRDefault="0055160E" w:rsidP="0055160E">
      <w:r>
        <w:t>w godzinach pracy Zamawiającego tj. od 7.00 do 15.</w:t>
      </w:r>
      <w:r w:rsidRPr="002B0756">
        <w:t xml:space="preserve">00 do </w:t>
      </w:r>
      <w:r w:rsidRPr="0089483A">
        <w:t>dnia</w:t>
      </w:r>
      <w:r w:rsidR="00905648" w:rsidRPr="0089483A">
        <w:t xml:space="preserve"> </w:t>
      </w:r>
      <w:r w:rsidR="00685891">
        <w:t>13</w:t>
      </w:r>
      <w:r w:rsidR="003F6654">
        <w:t>.02.2023</w:t>
      </w:r>
      <w:r w:rsidR="00AA6BF0" w:rsidRPr="0089483A">
        <w:t xml:space="preserve"> </w:t>
      </w:r>
      <w:r w:rsidRPr="0089483A">
        <w:t>r.</w:t>
      </w:r>
    </w:p>
    <w:p w14:paraId="77B269EE" w14:textId="77777777" w:rsidR="0055160E" w:rsidRPr="002B0756" w:rsidRDefault="0055160E" w:rsidP="0055160E">
      <w:r w:rsidRPr="002B0756">
        <w:t xml:space="preserve">b) w formie elektronicznej - skan dokumentów wysłany na adres e-mail: </w:t>
      </w:r>
    </w:p>
    <w:p w14:paraId="1296CA6C" w14:textId="1CEC06F0" w:rsidR="0055160E" w:rsidRPr="002B0756" w:rsidRDefault="0055160E" w:rsidP="0055160E">
      <w:r w:rsidRPr="002B0756">
        <w:rPr>
          <w:b/>
        </w:rPr>
        <w:t>oferty@nyborg-mawent.com</w:t>
      </w:r>
      <w:r w:rsidR="00105808" w:rsidRPr="002B0756">
        <w:t xml:space="preserve"> do godziny 15.00 dnia </w:t>
      </w:r>
      <w:r w:rsidR="00685891">
        <w:t>13</w:t>
      </w:r>
      <w:r w:rsidR="003F6654">
        <w:t>.02.2023</w:t>
      </w:r>
      <w:r w:rsidR="00496426" w:rsidRPr="0089483A">
        <w:t xml:space="preserve"> </w:t>
      </w:r>
      <w:r w:rsidRPr="0089483A">
        <w:t>r.</w:t>
      </w:r>
    </w:p>
    <w:p w14:paraId="67214B05" w14:textId="27CB6108" w:rsidR="00143FB8" w:rsidRDefault="00143FB8" w:rsidP="00143FB8">
      <w:pPr>
        <w:jc w:val="both"/>
      </w:pPr>
      <w:r w:rsidRPr="002B0756">
        <w:t xml:space="preserve">c) w formie elektronicznej - poprzez złożenie oferty w odpowiedzi na opublikowane zapytanie ofertowe przez stronę https://bazakonkurencyjnosci.funduszeeuropejskie.gov.pl. z załączeniem skanów wszystkich wymaganych dokumentów do godziny 15.00 do dnia </w:t>
      </w:r>
      <w:r w:rsidR="00685891">
        <w:t>13</w:t>
      </w:r>
      <w:r w:rsidR="003F6654">
        <w:t>.02.2023</w:t>
      </w:r>
      <w:r w:rsidR="00496426" w:rsidRPr="0089483A">
        <w:t xml:space="preserve"> r.</w:t>
      </w:r>
    </w:p>
    <w:p w14:paraId="3DE0478F" w14:textId="71CA34F2" w:rsidR="0055160E" w:rsidRDefault="009E71DF" w:rsidP="0055160E">
      <w:r>
        <w:t>1</w:t>
      </w:r>
      <w:r w:rsidR="008C499E">
        <w:t>2</w:t>
      </w:r>
      <w:r w:rsidR="0055160E">
        <w:t>. Oferty złożone po terminie nie będą rozpatrywane.</w:t>
      </w:r>
    </w:p>
    <w:p w14:paraId="602606DF" w14:textId="77777777" w:rsidR="0055160E" w:rsidRDefault="0055160E" w:rsidP="0055160E">
      <w:pPr>
        <w:rPr>
          <w:b/>
        </w:rPr>
      </w:pPr>
      <w:r>
        <w:rPr>
          <w:b/>
        </w:rPr>
        <w:t>VIII.ROZSTRZYGNIIĘCIE POSTĘPOWANIA OFERTOWEGO</w:t>
      </w:r>
    </w:p>
    <w:p w14:paraId="2DE2959E" w14:textId="7EA90CB5" w:rsidR="0055160E" w:rsidRDefault="0055160E" w:rsidP="00E865AC">
      <w:pPr>
        <w:jc w:val="both"/>
      </w:pPr>
      <w:r>
        <w:t>1. W przypadkach, gdy okaże się to niezbędne, Zamawiający ma prawo zwrócić się do oferenta z prośbą o udzielenie dodatkowyc</w:t>
      </w:r>
      <w:r w:rsidR="00105808">
        <w:t>h wyjaśnień do złożonej oferty.</w:t>
      </w:r>
    </w:p>
    <w:p w14:paraId="6892AADC" w14:textId="1E89CC80" w:rsidR="0055160E" w:rsidRDefault="0055160E">
      <w:pPr>
        <w:jc w:val="both"/>
      </w:pPr>
      <w:r>
        <w:lastRenderedPageBreak/>
        <w:t>2. Zamawiający zastrzega sobie prawo do przedłużenia terminu składania ofert oraz unieważnienia zapytania (w całości lub części) z uzasadnionych powodów bez podania przyczyny oraz bez ponoszenia jakichkolwiek</w:t>
      </w:r>
      <w:r w:rsidR="00105808">
        <w:t xml:space="preserve"> skutków prawnych i finansowych.</w:t>
      </w:r>
    </w:p>
    <w:p w14:paraId="015327F2" w14:textId="4D831FBC" w:rsidR="0055160E" w:rsidRDefault="00892EDD">
      <w:pPr>
        <w:jc w:val="both"/>
      </w:pPr>
      <w:r>
        <w:t>3</w:t>
      </w:r>
      <w:r w:rsidR="0055160E">
        <w:t xml:space="preserve">. W uzasadnionych przypadkach Zamawiający może przed upływem terminu składania ofert zmodyfikować treść zapytania ofertowego </w:t>
      </w:r>
      <w:r w:rsidR="00AA7BD0">
        <w:t xml:space="preserve"> wydłużając</w:t>
      </w:r>
      <w:r w:rsidR="0055160E">
        <w:t xml:space="preserve"> termin składania ofert </w:t>
      </w:r>
      <w:r w:rsidR="00AA7BD0">
        <w:t xml:space="preserve"> o okres </w:t>
      </w:r>
      <w:r w:rsidR="0055160E">
        <w:t xml:space="preserve">nie krótszy niż </w:t>
      </w:r>
      <w:r w:rsidR="005208BB">
        <w:t>3</w:t>
      </w:r>
      <w:r w:rsidR="0055160E">
        <w:t xml:space="preserve"> dni. Wszelkie modyfikacje, uzupełnienia i ustalenia oraz zmiany, w tym zmiany terminów stają się integralną częścią zapytania ofertowego i będą wiążące przy składaniu ofert. Wszelkie prawa i zobowiązania Zamawiającego oraz Oferentów odnośnie wcześniej ustalonych terminów będą podlegały nowemu terminowi. W takim przypadku każdy z oferentów będzie miał prawo do uaktualnienia już złożonej oferty i zostanie o tym fakcie poinformowany. Nie dotyczy to nieistotnych korekt w treści zapytania ofertowego.</w:t>
      </w:r>
    </w:p>
    <w:p w14:paraId="6E3023E3" w14:textId="3160A195" w:rsidR="0055160E" w:rsidRDefault="00892EDD">
      <w:pPr>
        <w:jc w:val="both"/>
      </w:pPr>
      <w:r>
        <w:t>4</w:t>
      </w:r>
      <w:r w:rsidR="0055160E">
        <w:t>. W przypadku, gdy wybrany Oferent odstąpi od podpisania umowy z Zamawiającym możliwe jest podpisanie przez Zamawiającego umowy z kolejnym Oferentem, który w postępowaniu uzyskał kolejną najwyższą liczbę punktów.</w:t>
      </w:r>
    </w:p>
    <w:p w14:paraId="47DDA56A" w14:textId="67EA5A37" w:rsidR="0055160E" w:rsidRDefault="00892EDD" w:rsidP="00D81540">
      <w:pPr>
        <w:jc w:val="both"/>
      </w:pPr>
      <w:r>
        <w:t>5</w:t>
      </w:r>
      <w:r w:rsidR="0055160E">
        <w:t>. O zakończeniu postępowania o udzielenie zamówienia bez wyboru oferty Zamawiający zawiadamia wszystkich Oferentów biorących udział w postępowaniu zamieszczając stosowną informację na stronie internetowej https://bazakonkurencyjnosci.funduszeeuropejskie.gov.pl.</w:t>
      </w:r>
    </w:p>
    <w:p w14:paraId="1D1FB2BE" w14:textId="584465D6" w:rsidR="0055160E" w:rsidRDefault="00892EDD" w:rsidP="00D81540">
      <w:pPr>
        <w:jc w:val="both"/>
      </w:pPr>
      <w:r>
        <w:t>6</w:t>
      </w:r>
      <w:r w:rsidR="0055160E">
        <w:t>. W przypadku zakończenia postępowania bez wybrania którejkolwiek z ofert Oferentom nie przysługuje roszczenie o zwrot kosztów uczestnictwa w postępowaniu.</w:t>
      </w:r>
    </w:p>
    <w:p w14:paraId="6418F7B1" w14:textId="4B9DDD2E" w:rsidR="0055160E" w:rsidRDefault="00892EDD" w:rsidP="00D81540">
      <w:pPr>
        <w:jc w:val="both"/>
      </w:pPr>
      <w:r>
        <w:t>7</w:t>
      </w:r>
      <w:r w:rsidR="0055160E">
        <w:t>. Oferent zostanie poinformowany osobiście, telefonicznie lub e-mailem o terminie i miejscu podpisania umowy.</w:t>
      </w:r>
    </w:p>
    <w:p w14:paraId="2CE324E2" w14:textId="17BAAC60" w:rsidR="0055160E" w:rsidRPr="00C70DE9" w:rsidRDefault="00892EDD" w:rsidP="00D81540">
      <w:pPr>
        <w:jc w:val="both"/>
      </w:pPr>
      <w:r w:rsidRPr="00B20C74">
        <w:t>8</w:t>
      </w:r>
      <w:r w:rsidR="0055160E" w:rsidRPr="00B20C74">
        <w:t>. Terminem rozpoczęcia realizacji zamówienia jest data podpisania umowy, a terminem zakończenia  data protokołu odbioru prz</w:t>
      </w:r>
      <w:r w:rsidR="00F8667F" w:rsidRPr="00B20C74">
        <w:t xml:space="preserve">edmiotu </w:t>
      </w:r>
      <w:r w:rsidR="0055160E" w:rsidRPr="00B20C74">
        <w:t>zamówienia wystawionego i podpisanego przez Zamawiającego</w:t>
      </w:r>
      <w:r w:rsidR="00F8667F" w:rsidRPr="00B20C74">
        <w:t xml:space="preserve"> .</w:t>
      </w:r>
    </w:p>
    <w:p w14:paraId="210AB4F1" w14:textId="52AA8EBE" w:rsidR="0055160E" w:rsidRDefault="00892EDD" w:rsidP="00D81540">
      <w:pPr>
        <w:jc w:val="both"/>
      </w:pPr>
      <w:r>
        <w:t>9</w:t>
      </w:r>
      <w:r w:rsidR="0055160E" w:rsidRPr="005F2EC5">
        <w:t xml:space="preserve">. Zamawiający może odstąpić od podpisania umowy </w:t>
      </w:r>
      <w:r w:rsidR="0055160E">
        <w:t xml:space="preserve">z uzasadnionej </w:t>
      </w:r>
      <w:r w:rsidR="0055160E" w:rsidRPr="005F2EC5">
        <w:t>przyczyny.</w:t>
      </w:r>
    </w:p>
    <w:p w14:paraId="7432E304" w14:textId="173AAF5A" w:rsidR="005C0534" w:rsidRPr="00836F73" w:rsidRDefault="005C0534" w:rsidP="005C0534">
      <w:pPr>
        <w:jc w:val="both"/>
      </w:pPr>
      <w:r>
        <w:t xml:space="preserve">10. Zamawiający </w:t>
      </w:r>
      <w:r w:rsidR="003F20FF">
        <w:t>dopuszcza możliwość</w:t>
      </w:r>
      <w:r>
        <w:t xml:space="preserve"> składania przez Wykonawców ofert częściowych.</w:t>
      </w:r>
    </w:p>
    <w:p w14:paraId="32CC35ED" w14:textId="3C986707" w:rsidR="0055160E" w:rsidRDefault="0055160E" w:rsidP="0055160E">
      <w:pPr>
        <w:rPr>
          <w:b/>
        </w:rPr>
      </w:pPr>
      <w:r>
        <w:rPr>
          <w:b/>
        </w:rPr>
        <w:t>IX. MINIMALNY ZAKRES I WARUNKI ZAMIANY UMOWY</w:t>
      </w:r>
      <w:r w:rsidR="00380472">
        <w:rPr>
          <w:b/>
        </w:rPr>
        <w:t xml:space="preserve"> ORAZ POZOSTAŁE INFORMACJE</w:t>
      </w:r>
    </w:p>
    <w:p w14:paraId="32610862" w14:textId="7CBD6DC5" w:rsidR="008165E7" w:rsidRDefault="007F3A50" w:rsidP="0055160E">
      <w:pPr>
        <w:jc w:val="both"/>
      </w:pPr>
      <w:r>
        <w:t>1</w:t>
      </w:r>
      <w:r w:rsidR="0055160E">
        <w:t xml:space="preserve">. Planowany termin podpisania umowy z Dostawcą </w:t>
      </w:r>
      <w:r w:rsidR="008C499E">
        <w:t>-</w:t>
      </w:r>
      <w:r w:rsidR="0055160E">
        <w:t xml:space="preserve"> w terminie związania ofertą.</w:t>
      </w:r>
    </w:p>
    <w:p w14:paraId="43E8D324" w14:textId="19F74CCC" w:rsidR="00453290" w:rsidRDefault="007F3A50" w:rsidP="0055160E">
      <w:pPr>
        <w:jc w:val="both"/>
      </w:pPr>
      <w:r>
        <w:t>2</w:t>
      </w:r>
      <w:r w:rsidR="00453290">
        <w:t xml:space="preserve">. </w:t>
      </w:r>
      <w:r w:rsidR="00453290" w:rsidRPr="00453290">
        <w:t xml:space="preserve">Okres realizacji zamówienia rozpoczyna bieg w dniu podpisania umowy z Dostawcą. Maksymalny termin dostawy całości przedmiotu zamówienia </w:t>
      </w:r>
      <w:r w:rsidR="00453290" w:rsidRPr="0089483A">
        <w:t xml:space="preserve">wynosi </w:t>
      </w:r>
      <w:r w:rsidR="009E7C06" w:rsidRPr="0089483A">
        <w:t>5</w:t>
      </w:r>
      <w:r w:rsidR="008C499E" w:rsidRPr="0089483A">
        <w:t xml:space="preserve"> tygodni</w:t>
      </w:r>
      <w:r w:rsidR="008C499E">
        <w:t>.</w:t>
      </w:r>
    </w:p>
    <w:p w14:paraId="7275E7C8" w14:textId="61E9E03B" w:rsidR="0055160E" w:rsidRDefault="007F3A50" w:rsidP="0055160E">
      <w:pPr>
        <w:jc w:val="both"/>
      </w:pPr>
      <w:r>
        <w:t>3</w:t>
      </w:r>
      <w:r w:rsidR="0055160E">
        <w:t xml:space="preserve">. Zamawiający przewiduje możliwość dokonania zmian postanowień zawartej umowy w stosunku do treści oferty, na podstawie której dokonano wyboru Dostawcy, w zakresie zmiany istotnych postanowień umowy w stosunku do treści oferty jest dopuszczalna w sytuacji, </w:t>
      </w:r>
      <w:r w:rsidR="0055160E" w:rsidRPr="005F2EC5">
        <w:t>gdy jest ona korzystna dla Zamawiającego</w:t>
      </w:r>
      <w:r w:rsidR="0055160E">
        <w:t xml:space="preserve"> i nie była możliwa do przewidzenia na etapie podpisywania umowy, a ponadto jej dokonanie wskazane jest w szczególności, gdy:</w:t>
      </w:r>
    </w:p>
    <w:p w14:paraId="3049CB0F" w14:textId="77777777" w:rsidR="0055160E" w:rsidRDefault="0055160E" w:rsidP="0055160E">
      <w:pPr>
        <w:jc w:val="both"/>
      </w:pPr>
      <w:r>
        <w:t>▪ nastąpi zmiana powszechnie obowiązujących przepisów prawa w zakresie mającym wpływ na realizację przedmiotu umowy;</w:t>
      </w:r>
    </w:p>
    <w:p w14:paraId="19FFCB67" w14:textId="77777777" w:rsidR="0055160E" w:rsidRDefault="0055160E" w:rsidP="0055160E">
      <w:pPr>
        <w:jc w:val="both"/>
      </w:pPr>
      <w:r>
        <w:t>▪ wynikną rozbieżności lub niejasności w umowie, których nie można usunąć w inny sposób, a zmiana będzie umożliwiać usunięcie rozbieżności i doprecyzowanie Umowy w celu jednoznacznej interpretacji jej postanowień przez Strony,</w:t>
      </w:r>
    </w:p>
    <w:p w14:paraId="052AF6CD" w14:textId="77777777" w:rsidR="0055160E" w:rsidRDefault="0055160E" w:rsidP="0055160E">
      <w:pPr>
        <w:jc w:val="both"/>
      </w:pPr>
      <w:r>
        <w:lastRenderedPageBreak/>
        <w:t>▪ zmiany wartości umowy tj. zwiększenia bądź zmniejszenia stawek podatku od towarów i usług, dotyczących przedmiotu zamówienia w wyniku zmian ustawy z dnia 11 marca 2004 roku o podatku od towarów i usług, które wejdą w życie po dniu zawarcia umowy, a przed dostarczeniem przez Dostawcę przedmiotu zamówienia,</w:t>
      </w:r>
    </w:p>
    <w:p w14:paraId="5C4ADBC8" w14:textId="650FCE55" w:rsidR="0055160E" w:rsidRDefault="0055160E" w:rsidP="0055160E">
      <w:pPr>
        <w:jc w:val="both"/>
      </w:pPr>
      <w:r>
        <w:t xml:space="preserve">▪ </w:t>
      </w:r>
      <w:r w:rsidR="00AD2019">
        <w:t xml:space="preserve">z </w:t>
      </w:r>
      <w:r>
        <w:t>przyczyn niezawinionych przez żadną ze stron, wykonanie umowy w terminie w niej przewidzianym nie jest możliwe.</w:t>
      </w:r>
    </w:p>
    <w:p w14:paraId="3EDE622C" w14:textId="40374012" w:rsidR="0055160E" w:rsidRPr="0055160E" w:rsidRDefault="006B4270" w:rsidP="0055160E">
      <w:pPr>
        <w:jc w:val="both"/>
      </w:pPr>
      <w:r>
        <w:t>4</w:t>
      </w:r>
      <w:r w:rsidR="0055160E">
        <w:t>. Wszystkie zmiany postanowień umowy wymagają formy pisemnej pod rygorem nieważności i zgody obu stron.</w:t>
      </w:r>
    </w:p>
    <w:p w14:paraId="7468F5A4" w14:textId="77777777" w:rsidR="0055160E" w:rsidRDefault="0055160E" w:rsidP="0055160E">
      <w:pPr>
        <w:spacing w:after="0"/>
        <w:rPr>
          <w:b/>
        </w:rPr>
      </w:pPr>
      <w:r>
        <w:rPr>
          <w:b/>
        </w:rPr>
        <w:t>X.KONTAKT Z ZAMAWIAJĄCYM</w:t>
      </w:r>
    </w:p>
    <w:p w14:paraId="2D47B366" w14:textId="77777777" w:rsidR="004A6BCB" w:rsidRDefault="004A6BCB" w:rsidP="0055160E">
      <w:pPr>
        <w:spacing w:after="0"/>
        <w:rPr>
          <w:b/>
        </w:rPr>
      </w:pPr>
    </w:p>
    <w:p w14:paraId="00117BD1" w14:textId="77777777" w:rsidR="00ED5C5C" w:rsidRDefault="00ED5C5C" w:rsidP="0055160E">
      <w:pPr>
        <w:spacing w:after="0"/>
      </w:pPr>
      <w:bookmarkStart w:id="3" w:name="_GoBack"/>
      <w:bookmarkEnd w:id="3"/>
    </w:p>
    <w:p w14:paraId="47ED6B73" w14:textId="6A5B7CDF" w:rsidR="00ED5C5C" w:rsidRDefault="00ED5C5C" w:rsidP="00ED5C5C">
      <w:pPr>
        <w:spacing w:after="0"/>
      </w:pPr>
      <w:r>
        <w:t xml:space="preserve">Imię: Estera </w:t>
      </w:r>
    </w:p>
    <w:p w14:paraId="7A3FF0CB" w14:textId="29420EF3" w:rsidR="00ED5C5C" w:rsidRDefault="00ED5C5C" w:rsidP="00ED5C5C">
      <w:pPr>
        <w:spacing w:after="0"/>
      </w:pPr>
      <w:r>
        <w:t>Nazwisko: Tkaczyk</w:t>
      </w:r>
    </w:p>
    <w:p w14:paraId="020589AC" w14:textId="77777777" w:rsidR="00ED5C5C" w:rsidRDefault="00ED5C5C" w:rsidP="00ED5C5C">
      <w:pPr>
        <w:spacing w:after="0"/>
      </w:pPr>
      <w:r>
        <w:t>Adres e-mail: oferty@nyborg-mawent.com</w:t>
      </w:r>
    </w:p>
    <w:p w14:paraId="297F2A95" w14:textId="68CD0BAA" w:rsidR="00ED5C5C" w:rsidRDefault="00ED5C5C" w:rsidP="00ED5C5C">
      <w:pPr>
        <w:spacing w:after="0"/>
      </w:pPr>
      <w:r>
        <w:t xml:space="preserve">Telefon: +48 532 341 </w:t>
      </w:r>
      <w:r w:rsidRPr="00ED5C5C">
        <w:t>493</w:t>
      </w:r>
    </w:p>
    <w:p w14:paraId="29B6E139" w14:textId="77777777" w:rsidR="00ED5C5C" w:rsidRDefault="00ED5C5C" w:rsidP="0055160E">
      <w:pPr>
        <w:spacing w:after="0"/>
      </w:pPr>
    </w:p>
    <w:p w14:paraId="789DEF7B" w14:textId="77777777" w:rsidR="004A6BCB" w:rsidRDefault="004A6BCB" w:rsidP="0055160E">
      <w:pPr>
        <w:spacing w:after="0"/>
      </w:pPr>
    </w:p>
    <w:p w14:paraId="165DCDC5" w14:textId="77777777" w:rsidR="004A6BCB" w:rsidRDefault="004A6BCB" w:rsidP="0055160E">
      <w:pPr>
        <w:spacing w:after="0"/>
      </w:pPr>
    </w:p>
    <w:p w14:paraId="5DF94D33" w14:textId="77777777" w:rsidR="004A6BCB" w:rsidRDefault="004A6BCB" w:rsidP="0055160E">
      <w:pPr>
        <w:spacing w:after="0"/>
      </w:pPr>
    </w:p>
    <w:p w14:paraId="052622D1" w14:textId="77777777" w:rsidR="0055160E" w:rsidRDefault="0055160E" w:rsidP="0055160E">
      <w:pPr>
        <w:spacing w:after="0"/>
      </w:pPr>
    </w:p>
    <w:p w14:paraId="23126E2A" w14:textId="77777777" w:rsidR="0055160E" w:rsidRDefault="0055160E" w:rsidP="0055160E">
      <w:pPr>
        <w:spacing w:after="0"/>
        <w:rPr>
          <w:b/>
        </w:rPr>
      </w:pPr>
      <w:r>
        <w:rPr>
          <w:b/>
        </w:rPr>
        <w:t>XI.ZAŁĄCZNIKI:</w:t>
      </w:r>
    </w:p>
    <w:p w14:paraId="15190A9E" w14:textId="77777777" w:rsidR="0055160E" w:rsidRPr="0055160E" w:rsidRDefault="0055160E" w:rsidP="0055160E">
      <w:pPr>
        <w:spacing w:after="0" w:line="240" w:lineRule="auto"/>
        <w:rPr>
          <w:strike/>
          <w:noProof w:val="0"/>
        </w:rPr>
      </w:pPr>
    </w:p>
    <w:p w14:paraId="5FB0488E" w14:textId="4D30AA98" w:rsidR="0055160E" w:rsidRPr="00B20C74" w:rsidRDefault="00C852E6" w:rsidP="0055160E">
      <w:pPr>
        <w:pStyle w:val="Akapitzlist"/>
        <w:numPr>
          <w:ilvl w:val="0"/>
          <w:numId w:val="10"/>
        </w:numPr>
        <w:spacing w:after="0" w:line="254" w:lineRule="auto"/>
        <w:rPr>
          <w:rStyle w:val="Hipercze"/>
          <w:color w:val="auto"/>
          <w:u w:val="none"/>
        </w:rPr>
      </w:pPr>
      <w:r w:rsidRPr="00B20C74">
        <w:rPr>
          <w:rStyle w:val="Hipercze"/>
          <w:color w:val="auto"/>
          <w:u w:val="none"/>
        </w:rPr>
        <w:t>Załącznik nr 1</w:t>
      </w:r>
      <w:r w:rsidR="0055160E" w:rsidRPr="00B20C74">
        <w:rPr>
          <w:rStyle w:val="Hipercze"/>
          <w:color w:val="auto"/>
          <w:u w:val="none"/>
        </w:rPr>
        <w:t>: Formularz oferty</w:t>
      </w:r>
    </w:p>
    <w:p w14:paraId="5F0D733E" w14:textId="308B17C1" w:rsidR="003A2103" w:rsidRPr="00B20C74" w:rsidRDefault="003A2103" w:rsidP="0055160E">
      <w:pPr>
        <w:pStyle w:val="Akapitzlist"/>
        <w:numPr>
          <w:ilvl w:val="0"/>
          <w:numId w:val="10"/>
        </w:numPr>
        <w:spacing w:after="0" w:line="254" w:lineRule="auto"/>
      </w:pPr>
      <w:r w:rsidRPr="00B20C74">
        <w:rPr>
          <w:rStyle w:val="Hipercze"/>
          <w:color w:val="auto"/>
          <w:u w:val="none"/>
        </w:rPr>
        <w:t xml:space="preserve">Załącznik nr 2: </w:t>
      </w:r>
      <w:r w:rsidR="00D9266A" w:rsidRPr="00B20C74">
        <w:t>Klauzula informacyjna z art. 13 RODO.</w:t>
      </w:r>
    </w:p>
    <w:p w14:paraId="08DC5E8F" w14:textId="3C9A68ED" w:rsidR="0055160E" w:rsidRPr="00B20C74" w:rsidRDefault="00C852E6" w:rsidP="0055160E">
      <w:pPr>
        <w:pStyle w:val="Akapitzlist"/>
        <w:numPr>
          <w:ilvl w:val="0"/>
          <w:numId w:val="10"/>
        </w:numPr>
        <w:spacing w:after="0"/>
      </w:pPr>
      <w:r w:rsidRPr="00B20C74">
        <w:t xml:space="preserve">Załącznik nr </w:t>
      </w:r>
      <w:r w:rsidR="003A2103" w:rsidRPr="00B20C74">
        <w:t>3</w:t>
      </w:r>
      <w:r w:rsidR="0055160E" w:rsidRPr="00B20C74">
        <w:t xml:space="preserve">: </w:t>
      </w:r>
      <w:r w:rsidR="00714CFD" w:rsidRPr="00B20C74">
        <w:t>Oświadczenie o braku powiązań kapitałowych lub osobowych</w:t>
      </w:r>
    </w:p>
    <w:p w14:paraId="5EBF2BE8" w14:textId="77777777" w:rsidR="007E3B9B" w:rsidRPr="0055160E" w:rsidRDefault="007E3B9B" w:rsidP="0055160E"/>
    <w:sectPr w:rsidR="007E3B9B" w:rsidRPr="005516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12D04" w16cex:dateUtc="2022-07-07T07:59:00Z"/>
  <w16cex:commentExtensible w16cex:durableId="26712D7A" w16cex:dateUtc="2022-07-07T08:01:00Z"/>
  <w16cex:commentExtensible w16cex:durableId="26712E9B" w16cex:dateUtc="2022-07-07T08:06:00Z"/>
  <w16cex:commentExtensible w16cex:durableId="26712EF2" w16cex:dateUtc="2022-07-07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35E3A6" w16cid:durableId="26712CEF"/>
  <w16cid:commentId w16cid:paraId="22733273" w16cid:durableId="26712D04"/>
  <w16cid:commentId w16cid:paraId="5A610804" w16cid:durableId="26712CF0"/>
  <w16cid:commentId w16cid:paraId="0426CF79" w16cid:durableId="26712D7A"/>
  <w16cid:commentId w16cid:paraId="42B4DF55" w16cid:durableId="26712E9B"/>
  <w16cid:commentId w16cid:paraId="5C3FCB2F" w16cid:durableId="26712CF1"/>
  <w16cid:commentId w16cid:paraId="707B54AC" w16cid:durableId="26712E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F7A7" w14:textId="77777777" w:rsidR="008831F7" w:rsidRDefault="008831F7" w:rsidP="004C19A5">
      <w:pPr>
        <w:spacing w:after="0" w:line="240" w:lineRule="auto"/>
      </w:pPr>
      <w:r>
        <w:separator/>
      </w:r>
    </w:p>
  </w:endnote>
  <w:endnote w:type="continuationSeparator" w:id="0">
    <w:p w14:paraId="71CA40AE" w14:textId="77777777" w:rsidR="008831F7" w:rsidRDefault="008831F7" w:rsidP="004C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C4783" w14:textId="77777777" w:rsidR="004C19A5" w:rsidRPr="00007089" w:rsidRDefault="004C19A5" w:rsidP="004C19A5">
    <w:pPr>
      <w:tabs>
        <w:tab w:val="center" w:pos="4536"/>
        <w:tab w:val="right" w:pos="9072"/>
      </w:tabs>
      <w:spacing w:after="0"/>
      <w:jc w:val="center"/>
      <w:rPr>
        <w:rFonts w:eastAsia="Times New Roman" w:cs="Calibri"/>
        <w:sz w:val="16"/>
        <w:szCs w:val="16"/>
      </w:rPr>
    </w:pPr>
    <w:bookmarkStart w:id="4" w:name="_Hlk6295332"/>
    <w:r w:rsidRPr="00785A8B">
      <w:rPr>
        <w:rFonts w:cs="Calibri"/>
        <w:color w:val="000000"/>
        <w:sz w:val="16"/>
        <w:szCs w:val="16"/>
      </w:rPr>
      <w:t xml:space="preserve">Tytuł Projektu: </w:t>
    </w:r>
    <w:r w:rsidRPr="00B92360">
      <w:rPr>
        <w:rFonts w:eastAsia="Times New Roman" w:cs="Calibri"/>
        <w:sz w:val="16"/>
        <w:szCs w:val="16"/>
      </w:rPr>
      <w:t>„</w:t>
    </w:r>
    <w:r w:rsidRPr="00B14AF4">
      <w:rPr>
        <w:rFonts w:eastAsia="Times New Roman" w:cs="Calibri"/>
        <w:sz w:val="16"/>
        <w:szCs w:val="16"/>
      </w:rPr>
      <w:t>Opracowanie wentylatorów o konstrukcji uwzględniającej w unikalnym stopniu uwarunkowan</w:t>
    </w:r>
    <w:r>
      <w:rPr>
        <w:rFonts w:eastAsia="Times New Roman" w:cs="Calibri"/>
        <w:sz w:val="16"/>
        <w:szCs w:val="16"/>
      </w:rPr>
      <w:t xml:space="preserve">ia instalacyjne w celu redukcji </w:t>
    </w:r>
    <w:r w:rsidRPr="00B14AF4">
      <w:rPr>
        <w:rFonts w:eastAsia="Times New Roman" w:cs="Calibri"/>
        <w:sz w:val="16"/>
        <w:szCs w:val="16"/>
      </w:rPr>
      <w:t>emisji hałasu i wzrostu sprawności energetycznej</w:t>
    </w:r>
    <w:r w:rsidRPr="0089701A">
      <w:rPr>
        <w:rFonts w:eastAsia="Times New Roman" w:cs="Calibri"/>
        <w:sz w:val="16"/>
        <w:szCs w:val="16"/>
      </w:rPr>
      <w:t>.”</w:t>
    </w:r>
    <w:r>
      <w:rPr>
        <w:rFonts w:eastAsia="Times New Roman" w:cs="Calibri"/>
        <w:sz w:val="16"/>
        <w:szCs w:val="16"/>
      </w:rPr>
      <w:t xml:space="preserve"> </w:t>
    </w:r>
    <w:r w:rsidRPr="00785A8B">
      <w:rPr>
        <w:rFonts w:eastAsia="Times New Roman" w:cs="Calibri"/>
        <w:sz w:val="16"/>
        <w:szCs w:val="16"/>
      </w:rPr>
      <w:t xml:space="preserve"> współfinansowany przez Unię Europejską ze środków Europejskiego</w:t>
    </w:r>
    <w:r>
      <w:rPr>
        <w:rFonts w:eastAsia="Times New Roman" w:cs="Calibri"/>
        <w:sz w:val="16"/>
        <w:szCs w:val="16"/>
      </w:rPr>
      <w:t xml:space="preserve"> Funduszu Rozwoju Regionalnego </w:t>
    </w:r>
    <w:r w:rsidRPr="00785A8B">
      <w:rPr>
        <w:rFonts w:eastAsia="Times New Roman" w:cs="Calibri"/>
        <w:sz w:val="16"/>
        <w:szCs w:val="16"/>
      </w:rPr>
      <w:t xml:space="preserve">w ramach </w:t>
    </w:r>
    <w:r w:rsidRPr="00B14AF4">
      <w:rPr>
        <w:rFonts w:eastAsia="Times New Roman" w:cs="Calibri"/>
        <w:sz w:val="16"/>
        <w:szCs w:val="16"/>
      </w:rPr>
      <w:t xml:space="preserve">Poddziałania 1.1.1 Programu Operacyjnego Inteligentny Rozwój 2014-2020 </w:t>
    </w:r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3D1D4" w14:textId="77777777" w:rsidR="008831F7" w:rsidRDefault="008831F7" w:rsidP="004C19A5">
      <w:pPr>
        <w:spacing w:after="0" w:line="240" w:lineRule="auto"/>
      </w:pPr>
      <w:r>
        <w:separator/>
      </w:r>
    </w:p>
  </w:footnote>
  <w:footnote w:type="continuationSeparator" w:id="0">
    <w:p w14:paraId="73422F9F" w14:textId="77777777" w:rsidR="008831F7" w:rsidRDefault="008831F7" w:rsidP="004C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6A8E" w14:textId="5458F280" w:rsidR="007755BD" w:rsidRDefault="00B752A1">
    <w:pPr>
      <w:pStyle w:val="Nagwek"/>
    </w:pPr>
    <w:r>
      <w:rPr>
        <w:lang w:eastAsia="pl-PL"/>
      </w:rPr>
      <w:pict w14:anchorId="68ADE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5pt;height:46.75pt">
          <v:imagedata r:id="rId1" o:title="belka POIR_pl 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077"/>
    <w:multiLevelType w:val="multilevel"/>
    <w:tmpl w:val="6E90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2EE18BE"/>
    <w:multiLevelType w:val="hybridMultilevel"/>
    <w:tmpl w:val="CBE215F8"/>
    <w:lvl w:ilvl="0" w:tplc="0415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34225B8"/>
    <w:multiLevelType w:val="hybridMultilevel"/>
    <w:tmpl w:val="8052716A"/>
    <w:lvl w:ilvl="0" w:tplc="041CFD80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12FD3"/>
    <w:multiLevelType w:val="hybridMultilevel"/>
    <w:tmpl w:val="CF408978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7614C34"/>
    <w:multiLevelType w:val="hybridMultilevel"/>
    <w:tmpl w:val="404E6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45E10"/>
    <w:multiLevelType w:val="hybridMultilevel"/>
    <w:tmpl w:val="A09C0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32E1"/>
    <w:multiLevelType w:val="hybridMultilevel"/>
    <w:tmpl w:val="6DD8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9376F"/>
    <w:multiLevelType w:val="hybridMultilevel"/>
    <w:tmpl w:val="249CF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79F1"/>
    <w:multiLevelType w:val="multilevel"/>
    <w:tmpl w:val="30327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194C3198"/>
    <w:multiLevelType w:val="hybridMultilevel"/>
    <w:tmpl w:val="C76E62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F601B5"/>
    <w:multiLevelType w:val="hybridMultilevel"/>
    <w:tmpl w:val="4580C0A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2D6B80"/>
    <w:multiLevelType w:val="hybridMultilevel"/>
    <w:tmpl w:val="D14A9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94091"/>
    <w:multiLevelType w:val="hybridMultilevel"/>
    <w:tmpl w:val="A7F263CE"/>
    <w:lvl w:ilvl="0" w:tplc="8D78B0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F54E9B8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674EC"/>
    <w:multiLevelType w:val="hybridMultilevel"/>
    <w:tmpl w:val="C15ECF9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5507B"/>
    <w:multiLevelType w:val="hybridMultilevel"/>
    <w:tmpl w:val="F4586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C5688"/>
    <w:multiLevelType w:val="hybridMultilevel"/>
    <w:tmpl w:val="EA52CD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04D9C"/>
    <w:multiLevelType w:val="hybridMultilevel"/>
    <w:tmpl w:val="55A0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00DD9"/>
    <w:multiLevelType w:val="hybridMultilevel"/>
    <w:tmpl w:val="E9FAD0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014AB4"/>
    <w:multiLevelType w:val="hybridMultilevel"/>
    <w:tmpl w:val="5080AD94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3061059"/>
    <w:multiLevelType w:val="hybridMultilevel"/>
    <w:tmpl w:val="0D221714"/>
    <w:lvl w:ilvl="0" w:tplc="B13E22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D3F9D"/>
    <w:multiLevelType w:val="hybridMultilevel"/>
    <w:tmpl w:val="20E67B6C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72E01D5"/>
    <w:multiLevelType w:val="hybridMultilevel"/>
    <w:tmpl w:val="F86876E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986258"/>
    <w:multiLevelType w:val="hybridMultilevel"/>
    <w:tmpl w:val="4426D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22D60"/>
    <w:multiLevelType w:val="multilevel"/>
    <w:tmpl w:val="7682D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D16082"/>
    <w:multiLevelType w:val="hybridMultilevel"/>
    <w:tmpl w:val="2776652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2732FB"/>
    <w:multiLevelType w:val="hybridMultilevel"/>
    <w:tmpl w:val="29E205F2"/>
    <w:lvl w:ilvl="0" w:tplc="98849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92F87"/>
    <w:multiLevelType w:val="hybridMultilevel"/>
    <w:tmpl w:val="2D963B2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4BD2ABB"/>
    <w:multiLevelType w:val="hybridMultilevel"/>
    <w:tmpl w:val="8052716A"/>
    <w:lvl w:ilvl="0" w:tplc="041CFD80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C275C"/>
    <w:multiLevelType w:val="hybridMultilevel"/>
    <w:tmpl w:val="80026D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63495B"/>
    <w:multiLevelType w:val="hybridMultilevel"/>
    <w:tmpl w:val="E7404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466A5"/>
    <w:multiLevelType w:val="hybridMultilevel"/>
    <w:tmpl w:val="1460F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D99"/>
    <w:multiLevelType w:val="hybridMultilevel"/>
    <w:tmpl w:val="BE24E9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D1D08"/>
    <w:multiLevelType w:val="hybridMultilevel"/>
    <w:tmpl w:val="D10A2B84"/>
    <w:lvl w:ilvl="0" w:tplc="C1381B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198A"/>
    <w:multiLevelType w:val="hybridMultilevel"/>
    <w:tmpl w:val="A72A8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74BD4"/>
    <w:multiLevelType w:val="hybridMultilevel"/>
    <w:tmpl w:val="6DF6D53A"/>
    <w:lvl w:ilvl="0" w:tplc="8D78B0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3247B"/>
    <w:multiLevelType w:val="hybridMultilevel"/>
    <w:tmpl w:val="95F07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305DC"/>
    <w:multiLevelType w:val="hybridMultilevel"/>
    <w:tmpl w:val="4E9E8670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5651F"/>
    <w:multiLevelType w:val="hybridMultilevel"/>
    <w:tmpl w:val="44666BD0"/>
    <w:lvl w:ilvl="0" w:tplc="C1381B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00D2A"/>
    <w:multiLevelType w:val="hybridMultilevel"/>
    <w:tmpl w:val="47B8B5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A4F6E"/>
    <w:multiLevelType w:val="hybridMultilevel"/>
    <w:tmpl w:val="E1C26B2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23"/>
  </w:num>
  <w:num w:numId="4">
    <w:abstractNumId w:val="22"/>
  </w:num>
  <w:num w:numId="5">
    <w:abstractNumId w:val="29"/>
  </w:num>
  <w:num w:numId="6">
    <w:abstractNumId w:val="3"/>
  </w:num>
  <w:num w:numId="7">
    <w:abstractNumId w:val="36"/>
  </w:num>
  <w:num w:numId="8">
    <w:abstractNumId w:val="7"/>
  </w:num>
  <w:num w:numId="9">
    <w:abstractNumId w:val="27"/>
  </w:num>
  <w:num w:numId="10">
    <w:abstractNumId w:val="28"/>
  </w:num>
  <w:num w:numId="11">
    <w:abstractNumId w:val="0"/>
  </w:num>
  <w:num w:numId="12">
    <w:abstractNumId w:val="2"/>
  </w:num>
  <w:num w:numId="13">
    <w:abstractNumId w:val="33"/>
  </w:num>
  <w:num w:numId="14">
    <w:abstractNumId w:val="16"/>
  </w:num>
  <w:num w:numId="15">
    <w:abstractNumId w:val="4"/>
  </w:num>
  <w:num w:numId="16">
    <w:abstractNumId w:val="15"/>
  </w:num>
  <w:num w:numId="17">
    <w:abstractNumId w:val="30"/>
  </w:num>
  <w:num w:numId="18">
    <w:abstractNumId w:val="31"/>
  </w:num>
  <w:num w:numId="19">
    <w:abstractNumId w:val="14"/>
  </w:num>
  <w:num w:numId="20">
    <w:abstractNumId w:val="5"/>
  </w:num>
  <w:num w:numId="21">
    <w:abstractNumId w:val="32"/>
  </w:num>
  <w:num w:numId="22">
    <w:abstractNumId w:val="37"/>
  </w:num>
  <w:num w:numId="23">
    <w:abstractNumId w:val="12"/>
  </w:num>
  <w:num w:numId="24">
    <w:abstractNumId w:val="34"/>
  </w:num>
  <w:num w:numId="25">
    <w:abstractNumId w:val="25"/>
  </w:num>
  <w:num w:numId="26">
    <w:abstractNumId w:val="38"/>
  </w:num>
  <w:num w:numId="27">
    <w:abstractNumId w:val="19"/>
  </w:num>
  <w:num w:numId="28">
    <w:abstractNumId w:val="17"/>
  </w:num>
  <w:num w:numId="29">
    <w:abstractNumId w:val="11"/>
  </w:num>
  <w:num w:numId="30">
    <w:abstractNumId w:val="8"/>
  </w:num>
  <w:num w:numId="31">
    <w:abstractNumId w:val="24"/>
  </w:num>
  <w:num w:numId="32">
    <w:abstractNumId w:val="13"/>
  </w:num>
  <w:num w:numId="33">
    <w:abstractNumId w:val="10"/>
  </w:num>
  <w:num w:numId="34">
    <w:abstractNumId w:val="20"/>
  </w:num>
  <w:num w:numId="35">
    <w:abstractNumId w:val="39"/>
  </w:num>
  <w:num w:numId="36">
    <w:abstractNumId w:val="1"/>
  </w:num>
  <w:num w:numId="37">
    <w:abstractNumId w:val="21"/>
  </w:num>
  <w:num w:numId="38">
    <w:abstractNumId w:val="26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A5"/>
    <w:rsid w:val="00002919"/>
    <w:rsid w:val="000054B5"/>
    <w:rsid w:val="00005999"/>
    <w:rsid w:val="00020A66"/>
    <w:rsid w:val="00032FC1"/>
    <w:rsid w:val="00034AAF"/>
    <w:rsid w:val="00035334"/>
    <w:rsid w:val="00043CB5"/>
    <w:rsid w:val="00047367"/>
    <w:rsid w:val="00050687"/>
    <w:rsid w:val="00050DFC"/>
    <w:rsid w:val="00052425"/>
    <w:rsid w:val="00053064"/>
    <w:rsid w:val="00062A50"/>
    <w:rsid w:val="00065058"/>
    <w:rsid w:val="00066116"/>
    <w:rsid w:val="00067146"/>
    <w:rsid w:val="000A5EB8"/>
    <w:rsid w:val="000B4EDE"/>
    <w:rsid w:val="000C35A2"/>
    <w:rsid w:val="000C73E8"/>
    <w:rsid w:val="000D05DF"/>
    <w:rsid w:val="000E1432"/>
    <w:rsid w:val="000E14F4"/>
    <w:rsid w:val="000F0403"/>
    <w:rsid w:val="000F4BBC"/>
    <w:rsid w:val="000F6C31"/>
    <w:rsid w:val="00100ED0"/>
    <w:rsid w:val="00103B9B"/>
    <w:rsid w:val="0010413E"/>
    <w:rsid w:val="00104471"/>
    <w:rsid w:val="00105808"/>
    <w:rsid w:val="001118E4"/>
    <w:rsid w:val="00141B9D"/>
    <w:rsid w:val="00143FB8"/>
    <w:rsid w:val="001441CF"/>
    <w:rsid w:val="00154A4A"/>
    <w:rsid w:val="0016516E"/>
    <w:rsid w:val="00165570"/>
    <w:rsid w:val="0018494B"/>
    <w:rsid w:val="00190EC7"/>
    <w:rsid w:val="00195996"/>
    <w:rsid w:val="00195C10"/>
    <w:rsid w:val="001969C5"/>
    <w:rsid w:val="001A05B7"/>
    <w:rsid w:val="001A28DE"/>
    <w:rsid w:val="001A36CE"/>
    <w:rsid w:val="001B0AD3"/>
    <w:rsid w:val="001B5579"/>
    <w:rsid w:val="001B7A41"/>
    <w:rsid w:val="001B7BB2"/>
    <w:rsid w:val="001C4BA3"/>
    <w:rsid w:val="001D0B54"/>
    <w:rsid w:val="001E686F"/>
    <w:rsid w:val="001F423B"/>
    <w:rsid w:val="001F6AE3"/>
    <w:rsid w:val="00203218"/>
    <w:rsid w:val="00222CEC"/>
    <w:rsid w:val="002264B2"/>
    <w:rsid w:val="002340DF"/>
    <w:rsid w:val="00251E5A"/>
    <w:rsid w:val="002547BE"/>
    <w:rsid w:val="002602E2"/>
    <w:rsid w:val="00262819"/>
    <w:rsid w:val="0027356F"/>
    <w:rsid w:val="0027417A"/>
    <w:rsid w:val="00276B6D"/>
    <w:rsid w:val="00284977"/>
    <w:rsid w:val="00284E21"/>
    <w:rsid w:val="002900DF"/>
    <w:rsid w:val="002A15B9"/>
    <w:rsid w:val="002B0756"/>
    <w:rsid w:val="002C5375"/>
    <w:rsid w:val="002D1B1C"/>
    <w:rsid w:val="002E1A3B"/>
    <w:rsid w:val="002F786C"/>
    <w:rsid w:val="0030001F"/>
    <w:rsid w:val="00301C75"/>
    <w:rsid w:val="003044E7"/>
    <w:rsid w:val="0030728B"/>
    <w:rsid w:val="003104C9"/>
    <w:rsid w:val="0031171A"/>
    <w:rsid w:val="00312D21"/>
    <w:rsid w:val="00314C4D"/>
    <w:rsid w:val="0032112E"/>
    <w:rsid w:val="003243DC"/>
    <w:rsid w:val="00336774"/>
    <w:rsid w:val="00336E9A"/>
    <w:rsid w:val="00337174"/>
    <w:rsid w:val="00343A36"/>
    <w:rsid w:val="00346890"/>
    <w:rsid w:val="003470EB"/>
    <w:rsid w:val="00351A87"/>
    <w:rsid w:val="00364DF8"/>
    <w:rsid w:val="003651F3"/>
    <w:rsid w:val="0036558C"/>
    <w:rsid w:val="00370C79"/>
    <w:rsid w:val="00372CF6"/>
    <w:rsid w:val="00380472"/>
    <w:rsid w:val="003822A7"/>
    <w:rsid w:val="003A2103"/>
    <w:rsid w:val="003B1C88"/>
    <w:rsid w:val="003B3307"/>
    <w:rsid w:val="003C251E"/>
    <w:rsid w:val="003D21FF"/>
    <w:rsid w:val="003D3D83"/>
    <w:rsid w:val="003D4F4E"/>
    <w:rsid w:val="003D5ED1"/>
    <w:rsid w:val="003D609A"/>
    <w:rsid w:val="003E7EFB"/>
    <w:rsid w:val="003F119B"/>
    <w:rsid w:val="003F20FF"/>
    <w:rsid w:val="003F2108"/>
    <w:rsid w:val="003F6654"/>
    <w:rsid w:val="00405CE9"/>
    <w:rsid w:val="00407D28"/>
    <w:rsid w:val="00411876"/>
    <w:rsid w:val="00414FD6"/>
    <w:rsid w:val="00420416"/>
    <w:rsid w:val="004223CC"/>
    <w:rsid w:val="00426848"/>
    <w:rsid w:val="0043016B"/>
    <w:rsid w:val="00452C3D"/>
    <w:rsid w:val="00453290"/>
    <w:rsid w:val="004575E2"/>
    <w:rsid w:val="00460768"/>
    <w:rsid w:val="00467BEF"/>
    <w:rsid w:val="00476748"/>
    <w:rsid w:val="004777B6"/>
    <w:rsid w:val="00482DD1"/>
    <w:rsid w:val="004838B3"/>
    <w:rsid w:val="00484186"/>
    <w:rsid w:val="00484237"/>
    <w:rsid w:val="0048759A"/>
    <w:rsid w:val="00495E39"/>
    <w:rsid w:val="00496426"/>
    <w:rsid w:val="004A6BCB"/>
    <w:rsid w:val="004C19A5"/>
    <w:rsid w:val="004C1C02"/>
    <w:rsid w:val="004D3B2D"/>
    <w:rsid w:val="004E18DA"/>
    <w:rsid w:val="004F1D2E"/>
    <w:rsid w:val="00503D4F"/>
    <w:rsid w:val="0050430F"/>
    <w:rsid w:val="005157D6"/>
    <w:rsid w:val="005208BB"/>
    <w:rsid w:val="005215EA"/>
    <w:rsid w:val="00521B25"/>
    <w:rsid w:val="005241B8"/>
    <w:rsid w:val="00531FEC"/>
    <w:rsid w:val="0053212E"/>
    <w:rsid w:val="00546F41"/>
    <w:rsid w:val="0055160E"/>
    <w:rsid w:val="005559E3"/>
    <w:rsid w:val="00557739"/>
    <w:rsid w:val="00565C9C"/>
    <w:rsid w:val="005669AB"/>
    <w:rsid w:val="00567FE6"/>
    <w:rsid w:val="00580D4C"/>
    <w:rsid w:val="005863CA"/>
    <w:rsid w:val="0058716E"/>
    <w:rsid w:val="00594519"/>
    <w:rsid w:val="005A399D"/>
    <w:rsid w:val="005A46FE"/>
    <w:rsid w:val="005B29C4"/>
    <w:rsid w:val="005B413B"/>
    <w:rsid w:val="005B7A62"/>
    <w:rsid w:val="005C0534"/>
    <w:rsid w:val="005C7B9B"/>
    <w:rsid w:val="005D05F0"/>
    <w:rsid w:val="005D081C"/>
    <w:rsid w:val="005D5572"/>
    <w:rsid w:val="005D7A3A"/>
    <w:rsid w:val="005E4914"/>
    <w:rsid w:val="005E524D"/>
    <w:rsid w:val="005F2817"/>
    <w:rsid w:val="005F7C21"/>
    <w:rsid w:val="006008B3"/>
    <w:rsid w:val="00611056"/>
    <w:rsid w:val="00616ADB"/>
    <w:rsid w:val="0062236F"/>
    <w:rsid w:val="00624288"/>
    <w:rsid w:val="00624823"/>
    <w:rsid w:val="00632522"/>
    <w:rsid w:val="00634FEA"/>
    <w:rsid w:val="0064098F"/>
    <w:rsid w:val="0064256A"/>
    <w:rsid w:val="00652BB2"/>
    <w:rsid w:val="00657F4A"/>
    <w:rsid w:val="00657FFB"/>
    <w:rsid w:val="00661198"/>
    <w:rsid w:val="00662AF0"/>
    <w:rsid w:val="006632EA"/>
    <w:rsid w:val="00663EEB"/>
    <w:rsid w:val="006826F9"/>
    <w:rsid w:val="006841D3"/>
    <w:rsid w:val="00685891"/>
    <w:rsid w:val="00691E79"/>
    <w:rsid w:val="006A05AD"/>
    <w:rsid w:val="006A1DBA"/>
    <w:rsid w:val="006A2B04"/>
    <w:rsid w:val="006B3727"/>
    <w:rsid w:val="006B4270"/>
    <w:rsid w:val="006B7038"/>
    <w:rsid w:val="006C3811"/>
    <w:rsid w:val="006C74BA"/>
    <w:rsid w:val="006D1537"/>
    <w:rsid w:val="006E0555"/>
    <w:rsid w:val="006E593B"/>
    <w:rsid w:val="006E7B4F"/>
    <w:rsid w:val="006F084F"/>
    <w:rsid w:val="006F5E5A"/>
    <w:rsid w:val="006F6772"/>
    <w:rsid w:val="00714CFD"/>
    <w:rsid w:val="00715419"/>
    <w:rsid w:val="0071675E"/>
    <w:rsid w:val="007215FE"/>
    <w:rsid w:val="00723773"/>
    <w:rsid w:val="00730716"/>
    <w:rsid w:val="0073367D"/>
    <w:rsid w:val="00734A07"/>
    <w:rsid w:val="00751A73"/>
    <w:rsid w:val="0075799F"/>
    <w:rsid w:val="007716D4"/>
    <w:rsid w:val="007834A8"/>
    <w:rsid w:val="0078559C"/>
    <w:rsid w:val="007948CA"/>
    <w:rsid w:val="007A5775"/>
    <w:rsid w:val="007B4A25"/>
    <w:rsid w:val="007C083D"/>
    <w:rsid w:val="007C2B6B"/>
    <w:rsid w:val="007C3782"/>
    <w:rsid w:val="007D5BFD"/>
    <w:rsid w:val="007D6EFE"/>
    <w:rsid w:val="007E28D9"/>
    <w:rsid w:val="007E3B9B"/>
    <w:rsid w:val="007E4E1A"/>
    <w:rsid w:val="007E6490"/>
    <w:rsid w:val="007E7786"/>
    <w:rsid w:val="007F3A50"/>
    <w:rsid w:val="007F7A76"/>
    <w:rsid w:val="008020AF"/>
    <w:rsid w:val="008036DE"/>
    <w:rsid w:val="008039F4"/>
    <w:rsid w:val="00804A88"/>
    <w:rsid w:val="0080759D"/>
    <w:rsid w:val="00807E93"/>
    <w:rsid w:val="0081150B"/>
    <w:rsid w:val="008165E7"/>
    <w:rsid w:val="00821418"/>
    <w:rsid w:val="00821E38"/>
    <w:rsid w:val="00833923"/>
    <w:rsid w:val="00834819"/>
    <w:rsid w:val="00835A61"/>
    <w:rsid w:val="00835F3D"/>
    <w:rsid w:val="00852313"/>
    <w:rsid w:val="00853B01"/>
    <w:rsid w:val="00853DF0"/>
    <w:rsid w:val="008600FF"/>
    <w:rsid w:val="00861BFC"/>
    <w:rsid w:val="0086365C"/>
    <w:rsid w:val="008831F7"/>
    <w:rsid w:val="00892EDD"/>
    <w:rsid w:val="0089483A"/>
    <w:rsid w:val="00894A0A"/>
    <w:rsid w:val="008A74CF"/>
    <w:rsid w:val="008C0E77"/>
    <w:rsid w:val="008C11FD"/>
    <w:rsid w:val="008C499E"/>
    <w:rsid w:val="008C4BFF"/>
    <w:rsid w:val="008D268E"/>
    <w:rsid w:val="008D57DE"/>
    <w:rsid w:val="008D6E2F"/>
    <w:rsid w:val="008D7252"/>
    <w:rsid w:val="008E538A"/>
    <w:rsid w:val="008F5EB0"/>
    <w:rsid w:val="009053EB"/>
    <w:rsid w:val="00905474"/>
    <w:rsid w:val="00905648"/>
    <w:rsid w:val="0091112A"/>
    <w:rsid w:val="00915ADE"/>
    <w:rsid w:val="00916978"/>
    <w:rsid w:val="00920DCD"/>
    <w:rsid w:val="00951590"/>
    <w:rsid w:val="009550F2"/>
    <w:rsid w:val="0097364A"/>
    <w:rsid w:val="0097468B"/>
    <w:rsid w:val="0098465C"/>
    <w:rsid w:val="00987AA3"/>
    <w:rsid w:val="009A3A06"/>
    <w:rsid w:val="009B55CB"/>
    <w:rsid w:val="009C6BE5"/>
    <w:rsid w:val="009C746B"/>
    <w:rsid w:val="009D2160"/>
    <w:rsid w:val="009D6E59"/>
    <w:rsid w:val="009D735F"/>
    <w:rsid w:val="009E3DF4"/>
    <w:rsid w:val="009E71DF"/>
    <w:rsid w:val="009E7C06"/>
    <w:rsid w:val="009F19EA"/>
    <w:rsid w:val="009F5668"/>
    <w:rsid w:val="00A00C6F"/>
    <w:rsid w:val="00A034E6"/>
    <w:rsid w:val="00A04266"/>
    <w:rsid w:val="00A073C3"/>
    <w:rsid w:val="00A17431"/>
    <w:rsid w:val="00A4009E"/>
    <w:rsid w:val="00A452C9"/>
    <w:rsid w:val="00A47407"/>
    <w:rsid w:val="00A525C2"/>
    <w:rsid w:val="00A52820"/>
    <w:rsid w:val="00A75886"/>
    <w:rsid w:val="00A80AC7"/>
    <w:rsid w:val="00A87FFA"/>
    <w:rsid w:val="00A92395"/>
    <w:rsid w:val="00A93FF3"/>
    <w:rsid w:val="00AA1B57"/>
    <w:rsid w:val="00AA6BF0"/>
    <w:rsid w:val="00AA7BD0"/>
    <w:rsid w:val="00AB0B3C"/>
    <w:rsid w:val="00AC5378"/>
    <w:rsid w:val="00AC6FE6"/>
    <w:rsid w:val="00AD0976"/>
    <w:rsid w:val="00AD2019"/>
    <w:rsid w:val="00AE0578"/>
    <w:rsid w:val="00AE45E2"/>
    <w:rsid w:val="00AF3DEB"/>
    <w:rsid w:val="00B00954"/>
    <w:rsid w:val="00B14898"/>
    <w:rsid w:val="00B20C74"/>
    <w:rsid w:val="00B23AA2"/>
    <w:rsid w:val="00B26EEA"/>
    <w:rsid w:val="00B311CC"/>
    <w:rsid w:val="00B31558"/>
    <w:rsid w:val="00B43972"/>
    <w:rsid w:val="00B557B2"/>
    <w:rsid w:val="00B572D1"/>
    <w:rsid w:val="00B752A1"/>
    <w:rsid w:val="00B84178"/>
    <w:rsid w:val="00B96B81"/>
    <w:rsid w:val="00BA55E7"/>
    <w:rsid w:val="00BB3706"/>
    <w:rsid w:val="00BB59F4"/>
    <w:rsid w:val="00BB6ABE"/>
    <w:rsid w:val="00BC35AD"/>
    <w:rsid w:val="00BD1169"/>
    <w:rsid w:val="00BE370B"/>
    <w:rsid w:val="00BE450E"/>
    <w:rsid w:val="00BE4DFD"/>
    <w:rsid w:val="00BE60FD"/>
    <w:rsid w:val="00BF33DE"/>
    <w:rsid w:val="00C02396"/>
    <w:rsid w:val="00C0260B"/>
    <w:rsid w:val="00C03578"/>
    <w:rsid w:val="00C15779"/>
    <w:rsid w:val="00C30FEE"/>
    <w:rsid w:val="00C40964"/>
    <w:rsid w:val="00C40D20"/>
    <w:rsid w:val="00C442D5"/>
    <w:rsid w:val="00C47750"/>
    <w:rsid w:val="00C5062B"/>
    <w:rsid w:val="00C56C8B"/>
    <w:rsid w:val="00C64609"/>
    <w:rsid w:val="00C65817"/>
    <w:rsid w:val="00C66B1A"/>
    <w:rsid w:val="00C73A5F"/>
    <w:rsid w:val="00C73B75"/>
    <w:rsid w:val="00C73D58"/>
    <w:rsid w:val="00C8108B"/>
    <w:rsid w:val="00C852E6"/>
    <w:rsid w:val="00C929DC"/>
    <w:rsid w:val="00CA2F5A"/>
    <w:rsid w:val="00CA4FC2"/>
    <w:rsid w:val="00CB28E1"/>
    <w:rsid w:val="00CB65BA"/>
    <w:rsid w:val="00CB7A07"/>
    <w:rsid w:val="00CE5361"/>
    <w:rsid w:val="00D0429C"/>
    <w:rsid w:val="00D04DE6"/>
    <w:rsid w:val="00D07CD9"/>
    <w:rsid w:val="00D10E25"/>
    <w:rsid w:val="00D1482C"/>
    <w:rsid w:val="00D155CA"/>
    <w:rsid w:val="00D2404F"/>
    <w:rsid w:val="00D27951"/>
    <w:rsid w:val="00D326A8"/>
    <w:rsid w:val="00D446EF"/>
    <w:rsid w:val="00D51AAB"/>
    <w:rsid w:val="00D71E87"/>
    <w:rsid w:val="00D76597"/>
    <w:rsid w:val="00D80782"/>
    <w:rsid w:val="00D81540"/>
    <w:rsid w:val="00D8325A"/>
    <w:rsid w:val="00D86F11"/>
    <w:rsid w:val="00D871E1"/>
    <w:rsid w:val="00D9266A"/>
    <w:rsid w:val="00DA111A"/>
    <w:rsid w:val="00DB307C"/>
    <w:rsid w:val="00DB41C9"/>
    <w:rsid w:val="00DC2118"/>
    <w:rsid w:val="00DC4556"/>
    <w:rsid w:val="00DC61E6"/>
    <w:rsid w:val="00DD1584"/>
    <w:rsid w:val="00DF3FCB"/>
    <w:rsid w:val="00DF62EF"/>
    <w:rsid w:val="00E01AA8"/>
    <w:rsid w:val="00E22FEF"/>
    <w:rsid w:val="00E2558A"/>
    <w:rsid w:val="00E344F6"/>
    <w:rsid w:val="00E34B5A"/>
    <w:rsid w:val="00E374D6"/>
    <w:rsid w:val="00E451E3"/>
    <w:rsid w:val="00E466E6"/>
    <w:rsid w:val="00E60D7C"/>
    <w:rsid w:val="00E643BD"/>
    <w:rsid w:val="00E67DC5"/>
    <w:rsid w:val="00E70C40"/>
    <w:rsid w:val="00E7132E"/>
    <w:rsid w:val="00E716D9"/>
    <w:rsid w:val="00E74F26"/>
    <w:rsid w:val="00E750AF"/>
    <w:rsid w:val="00E83579"/>
    <w:rsid w:val="00E84A4C"/>
    <w:rsid w:val="00E865AC"/>
    <w:rsid w:val="00E86724"/>
    <w:rsid w:val="00E913EE"/>
    <w:rsid w:val="00E92464"/>
    <w:rsid w:val="00EB038F"/>
    <w:rsid w:val="00EB18EC"/>
    <w:rsid w:val="00EB2F12"/>
    <w:rsid w:val="00EB41AC"/>
    <w:rsid w:val="00EC4A6D"/>
    <w:rsid w:val="00ED10C5"/>
    <w:rsid w:val="00ED1A05"/>
    <w:rsid w:val="00ED5C5C"/>
    <w:rsid w:val="00EE0296"/>
    <w:rsid w:val="00EE1BFE"/>
    <w:rsid w:val="00EE78C1"/>
    <w:rsid w:val="00EF05D2"/>
    <w:rsid w:val="00F24A46"/>
    <w:rsid w:val="00F279AE"/>
    <w:rsid w:val="00F31841"/>
    <w:rsid w:val="00F367AB"/>
    <w:rsid w:val="00F408E4"/>
    <w:rsid w:val="00F41714"/>
    <w:rsid w:val="00F45C82"/>
    <w:rsid w:val="00F64187"/>
    <w:rsid w:val="00F66C9D"/>
    <w:rsid w:val="00F67146"/>
    <w:rsid w:val="00F72B14"/>
    <w:rsid w:val="00F72E18"/>
    <w:rsid w:val="00F72FB6"/>
    <w:rsid w:val="00F8667F"/>
    <w:rsid w:val="00F87E5B"/>
    <w:rsid w:val="00F934D7"/>
    <w:rsid w:val="00F9666F"/>
    <w:rsid w:val="00FA359A"/>
    <w:rsid w:val="00FA4A36"/>
    <w:rsid w:val="00FC31D2"/>
    <w:rsid w:val="00FC5F26"/>
    <w:rsid w:val="00FD0BAA"/>
    <w:rsid w:val="00FE2100"/>
    <w:rsid w:val="00FE78BB"/>
    <w:rsid w:val="00FF380C"/>
    <w:rsid w:val="00FF4DE8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135A107"/>
  <w15:chartTrackingRefBased/>
  <w15:docId w15:val="{9BB8A204-F6F8-412D-B13B-C95B9E36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60E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9A5"/>
  </w:style>
  <w:style w:type="paragraph" w:styleId="Akapitzlist">
    <w:name w:val="List Paragraph"/>
    <w:basedOn w:val="Normalny"/>
    <w:uiPriority w:val="34"/>
    <w:qFormat/>
    <w:rsid w:val="004C19A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C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9A5"/>
  </w:style>
  <w:style w:type="paragraph" w:customStyle="1" w:styleId="Default">
    <w:name w:val="Default"/>
    <w:rsid w:val="00551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16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823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823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23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B4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777B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C0E77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A74CF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6F32-83D3-4054-ACB2-94249ADA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2432</Words>
  <Characters>14596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Kurek</dc:creator>
  <cp:keywords/>
  <dc:description/>
  <cp:lastModifiedBy>Marta Pawłowska</cp:lastModifiedBy>
  <cp:revision>11</cp:revision>
  <cp:lastPrinted>2020-09-11T15:09:00Z</cp:lastPrinted>
  <dcterms:created xsi:type="dcterms:W3CDTF">2022-07-12T19:13:00Z</dcterms:created>
  <dcterms:modified xsi:type="dcterms:W3CDTF">2023-02-03T15:09:00Z</dcterms:modified>
</cp:coreProperties>
</file>